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F3FA6" w14:textId="77777777" w:rsidR="00520B58" w:rsidRPr="00520B58" w:rsidRDefault="00520B58" w:rsidP="00520B58">
      <w:pPr>
        <w:spacing w:after="180" w:line="240" w:lineRule="auto"/>
        <w:rPr>
          <w:rFonts w:ascii="Times New Roman" w:eastAsia="Times New Roman" w:hAnsi="Times New Roman" w:cs="Times New Roman"/>
          <w:sz w:val="24"/>
          <w:szCs w:val="24"/>
          <w:lang w:eastAsia="fr-FR"/>
        </w:rPr>
      </w:pPr>
      <w:r w:rsidRPr="00520B58">
        <w:rPr>
          <w:rFonts w:ascii="Calibri" w:eastAsia="Times New Roman" w:hAnsi="Calibri" w:cs="Calibri"/>
          <w:b/>
          <w:bCs/>
          <w:color w:val="000000"/>
          <w:sz w:val="21"/>
          <w:szCs w:val="21"/>
          <w:lang w:eastAsia="fr-FR"/>
        </w:rPr>
        <w:t>Psychologie : processus d’apprentissage et pratiques pédagogiques</w:t>
      </w:r>
    </w:p>
    <w:tbl>
      <w:tblPr>
        <w:tblW w:w="0" w:type="auto"/>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4A0" w:firstRow="1" w:lastRow="0" w:firstColumn="1" w:lastColumn="0" w:noHBand="0" w:noVBand="1"/>
      </w:tblPr>
      <w:tblGrid>
        <w:gridCol w:w="1707"/>
        <w:gridCol w:w="7229"/>
      </w:tblGrid>
      <w:tr w:rsidR="00520B58" w:rsidRPr="00520B58" w14:paraId="38B254E4" w14:textId="77777777" w:rsidTr="00520B58">
        <w:trPr>
          <w:trHeight w:val="193"/>
          <w:tblCellSpacing w:w="0" w:type="dxa"/>
        </w:trPr>
        <w:tc>
          <w:tcPr>
            <w:tcW w:w="170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3499700" w14:textId="77777777" w:rsidR="00520B58" w:rsidRPr="00520B58" w:rsidRDefault="00520B58" w:rsidP="00520B58">
            <w:pPr>
              <w:widowControl w:val="0"/>
              <w:spacing w:after="0" w:line="240" w:lineRule="auto"/>
              <w:rPr>
                <w:rFonts w:ascii="Times New Roman" w:eastAsia="Times New Roman" w:hAnsi="Times New Roman" w:cs="Times New Roman"/>
                <w:sz w:val="24"/>
                <w:szCs w:val="24"/>
                <w:lang w:eastAsia="fr-FR"/>
              </w:rPr>
            </w:pPr>
            <w:proofErr w:type="gramStart"/>
            <w:r w:rsidRPr="00520B58">
              <w:rPr>
                <w:rFonts w:ascii="Calibri" w:eastAsia="Times New Roman" w:hAnsi="Calibri" w:cs="Calibri"/>
                <w:color w:val="303030"/>
                <w:lang w:eastAsia="fr-FR"/>
              </w:rPr>
              <w:t>volume</w:t>
            </w:r>
            <w:proofErr w:type="gramEnd"/>
            <w:r w:rsidRPr="00520B58">
              <w:rPr>
                <w:rFonts w:ascii="Calibri" w:eastAsia="Times New Roman" w:hAnsi="Calibri" w:cs="Calibri"/>
                <w:color w:val="303030"/>
                <w:lang w:eastAsia="fr-FR"/>
              </w:rPr>
              <w:t xml:space="preserve"> horaire</w:t>
            </w:r>
          </w:p>
        </w:tc>
        <w:tc>
          <w:tcPr>
            <w:tcW w:w="722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932B0B8" w14:textId="77777777" w:rsidR="00520B58" w:rsidRPr="00520B58" w:rsidRDefault="00520B58" w:rsidP="00520B58">
            <w:pPr>
              <w:widowControl w:val="0"/>
              <w:spacing w:after="0" w:line="240" w:lineRule="auto"/>
              <w:rPr>
                <w:rFonts w:ascii="Times New Roman" w:eastAsia="Times New Roman" w:hAnsi="Times New Roman" w:cs="Times New Roman"/>
                <w:sz w:val="24"/>
                <w:szCs w:val="24"/>
                <w:lang w:eastAsia="fr-FR"/>
              </w:rPr>
            </w:pPr>
            <w:r w:rsidRPr="00520B58">
              <w:rPr>
                <w:rFonts w:ascii="Calibri" w:eastAsia="Times New Roman" w:hAnsi="Calibri" w:cs="Calibri"/>
                <w:b/>
                <w:bCs/>
                <w:color w:val="303030"/>
                <w:lang w:eastAsia="fr-FR"/>
              </w:rPr>
              <w:t>15 H</w:t>
            </w:r>
          </w:p>
        </w:tc>
      </w:tr>
      <w:tr w:rsidR="00520B58" w:rsidRPr="00520B58" w14:paraId="0B4E2DEF" w14:textId="77777777" w:rsidTr="00520B58">
        <w:trPr>
          <w:trHeight w:val="329"/>
          <w:tblCellSpacing w:w="0" w:type="dxa"/>
        </w:trPr>
        <w:tc>
          <w:tcPr>
            <w:tcW w:w="170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6F84B3" w14:textId="77777777" w:rsidR="00520B58" w:rsidRPr="00520B58" w:rsidRDefault="00520B58" w:rsidP="00520B58">
            <w:pPr>
              <w:widowControl w:val="0"/>
              <w:spacing w:after="0" w:line="240" w:lineRule="auto"/>
              <w:rPr>
                <w:rFonts w:ascii="Times New Roman" w:eastAsia="Times New Roman" w:hAnsi="Times New Roman" w:cs="Times New Roman"/>
                <w:sz w:val="24"/>
                <w:szCs w:val="24"/>
                <w:lang w:eastAsia="fr-FR"/>
              </w:rPr>
            </w:pPr>
            <w:proofErr w:type="gramStart"/>
            <w:r w:rsidRPr="00520B58">
              <w:rPr>
                <w:rFonts w:ascii="Calibri" w:eastAsia="Times New Roman" w:hAnsi="Calibri" w:cs="Calibri"/>
                <w:color w:val="303030"/>
                <w:lang w:eastAsia="fr-FR"/>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4280A6" w14:textId="77777777" w:rsidR="00520B58" w:rsidRPr="00520B58" w:rsidRDefault="00520B58" w:rsidP="00520B58">
            <w:pPr>
              <w:widowControl w:val="0"/>
              <w:spacing w:after="0" w:line="240" w:lineRule="auto"/>
              <w:rPr>
                <w:rFonts w:ascii="Times New Roman" w:eastAsia="Times New Roman" w:hAnsi="Times New Roman" w:cs="Times New Roman"/>
                <w:sz w:val="24"/>
                <w:szCs w:val="24"/>
                <w:lang w:eastAsia="fr-FR"/>
              </w:rPr>
            </w:pPr>
            <w:r w:rsidRPr="00520B58">
              <w:rPr>
                <w:rFonts w:ascii="Calibri" w:eastAsia="Times New Roman" w:hAnsi="Calibri" w:cs="Calibri"/>
                <w:color w:val="303030"/>
                <w:lang w:eastAsia="fr-FR"/>
              </w:rPr>
              <w:t>6H CM + 9H TD</w:t>
            </w:r>
          </w:p>
        </w:tc>
      </w:tr>
      <w:tr w:rsidR="00520B58" w:rsidRPr="00520B58" w14:paraId="3B093546" w14:textId="77777777" w:rsidTr="00520B58">
        <w:trPr>
          <w:trHeight w:val="226"/>
          <w:tblCellSpacing w:w="0" w:type="dxa"/>
        </w:trPr>
        <w:tc>
          <w:tcPr>
            <w:tcW w:w="170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144E431" w14:textId="77777777" w:rsidR="00520B58" w:rsidRPr="00520B58" w:rsidRDefault="00520B58" w:rsidP="00520B58">
            <w:pPr>
              <w:widowControl w:val="0"/>
              <w:spacing w:after="0" w:line="240" w:lineRule="auto"/>
              <w:rPr>
                <w:rFonts w:ascii="Times New Roman" w:eastAsia="Times New Roman" w:hAnsi="Times New Roman" w:cs="Times New Roman"/>
                <w:sz w:val="24"/>
                <w:szCs w:val="24"/>
                <w:lang w:eastAsia="fr-FR"/>
              </w:rPr>
            </w:pPr>
            <w:proofErr w:type="gramStart"/>
            <w:r w:rsidRPr="00520B58">
              <w:rPr>
                <w:rFonts w:ascii="Calibri" w:eastAsia="Times New Roman" w:hAnsi="Calibri" w:cs="Calibri"/>
                <w:color w:val="303030"/>
                <w:lang w:eastAsia="fr-FR"/>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AF318BF" w14:textId="77777777" w:rsidR="00520B58" w:rsidRPr="00520B58" w:rsidRDefault="00520B58" w:rsidP="00520B58">
            <w:pPr>
              <w:widowControl w:val="0"/>
              <w:spacing w:after="0" w:line="240" w:lineRule="auto"/>
              <w:rPr>
                <w:rFonts w:ascii="Times New Roman" w:eastAsia="Times New Roman" w:hAnsi="Times New Roman" w:cs="Times New Roman"/>
                <w:sz w:val="24"/>
                <w:szCs w:val="24"/>
                <w:lang w:eastAsia="fr-FR"/>
              </w:rPr>
            </w:pPr>
            <w:r w:rsidRPr="00520B58">
              <w:rPr>
                <w:rFonts w:ascii="Calibri" w:eastAsia="Times New Roman" w:hAnsi="Calibri" w:cs="Calibri"/>
                <w:color w:val="303030"/>
                <w:lang w:eastAsia="fr-FR"/>
              </w:rPr>
              <w:t>INSPE (</w:t>
            </w:r>
            <w:proofErr w:type="spellStart"/>
            <w:r w:rsidRPr="00520B58">
              <w:rPr>
                <w:rFonts w:ascii="Calibri" w:eastAsia="Times New Roman" w:hAnsi="Calibri" w:cs="Calibri"/>
                <w:color w:val="303030"/>
                <w:lang w:eastAsia="fr-FR"/>
              </w:rPr>
              <w:t>dépÉI</w:t>
            </w:r>
            <w:proofErr w:type="spellEnd"/>
            <w:r w:rsidRPr="00520B58">
              <w:rPr>
                <w:rFonts w:ascii="Calibri" w:eastAsia="Times New Roman" w:hAnsi="Calibri" w:cs="Calibri"/>
                <w:color w:val="303030"/>
                <w:lang w:eastAsia="fr-FR"/>
              </w:rPr>
              <w:t xml:space="preserve"> et/ou SHS) + Paris Cité</w:t>
            </w:r>
          </w:p>
        </w:tc>
      </w:tr>
    </w:tbl>
    <w:p w14:paraId="6B4D88C2" w14:textId="77777777" w:rsidR="00520B58" w:rsidRPr="00520B58" w:rsidRDefault="00520B58" w:rsidP="00520B58">
      <w:pPr>
        <w:spacing w:after="0" w:line="240" w:lineRule="auto"/>
        <w:rPr>
          <w:rFonts w:ascii="Times New Roman" w:eastAsia="Times New Roman" w:hAnsi="Times New Roman" w:cs="Times New Roman"/>
          <w:sz w:val="24"/>
          <w:szCs w:val="24"/>
          <w:lang w:eastAsia="fr-FR"/>
        </w:rPr>
      </w:pPr>
      <w:r w:rsidRPr="00520B58">
        <w:rPr>
          <w:rFonts w:ascii="Times New Roman" w:eastAsia="Times New Roman" w:hAnsi="Times New Roman" w:cs="Times New Roman"/>
          <w:sz w:val="24"/>
          <w:szCs w:val="24"/>
          <w:lang w:eastAsia="fr-FR"/>
        </w:rPr>
        <w:t> </w:t>
      </w:r>
    </w:p>
    <w:p w14:paraId="18845B83" w14:textId="77777777" w:rsidR="00520B58" w:rsidRPr="00520B58" w:rsidRDefault="00520B58" w:rsidP="00520B58">
      <w:pPr>
        <w:numPr>
          <w:ilvl w:val="0"/>
          <w:numId w:val="1"/>
        </w:numPr>
        <w:spacing w:after="0" w:line="240" w:lineRule="auto"/>
        <w:ind w:left="1440"/>
        <w:jc w:val="both"/>
        <w:rPr>
          <w:rFonts w:ascii="Times New Roman" w:eastAsia="Times New Roman" w:hAnsi="Times New Roman" w:cs="Times New Roman"/>
          <w:sz w:val="24"/>
          <w:szCs w:val="24"/>
          <w:lang w:eastAsia="fr-FR"/>
        </w:rPr>
      </w:pPr>
      <w:r w:rsidRPr="00520B58">
        <w:rPr>
          <w:rFonts w:ascii="Calibri" w:eastAsia="Times New Roman" w:hAnsi="Calibri" w:cs="Calibri"/>
          <w:b/>
          <w:bCs/>
          <w:color w:val="000000"/>
          <w:sz w:val="24"/>
          <w:szCs w:val="24"/>
          <w:lang w:eastAsia="fr-FR"/>
        </w:rPr>
        <w:t xml:space="preserve">Domaine de compétences professionnelles visé </w:t>
      </w:r>
    </w:p>
    <w:p w14:paraId="28B76CC2"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i/>
          <w:iCs/>
          <w:color w:val="000000"/>
          <w:lang w:eastAsia="fr-FR"/>
        </w:rPr>
        <w:t>(Conformément au référentiel de formation professorat des écoles)</w:t>
      </w:r>
    </w:p>
    <w:p w14:paraId="1FD422D9"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color w:val="000000"/>
          <w:lang w:eastAsia="fr-FR"/>
        </w:rPr>
        <w:t xml:space="preserve">Connaître les différentes fonctions cognitives des élèves, leurs relations et leur rôle dans les apprentissages (les différents types de mémoire, </w:t>
      </w:r>
      <w:proofErr w:type="spellStart"/>
      <w:r w:rsidRPr="00520B58">
        <w:rPr>
          <w:rFonts w:ascii="Calibri" w:eastAsia="Times New Roman" w:hAnsi="Calibri" w:cs="Calibri"/>
          <w:color w:val="000000"/>
          <w:lang w:eastAsia="fr-FR"/>
        </w:rPr>
        <w:t>l&amp;</w:t>
      </w:r>
      <w:proofErr w:type="gramStart"/>
      <w:r w:rsidRPr="00520B58">
        <w:rPr>
          <w:rFonts w:ascii="Calibri" w:eastAsia="Times New Roman" w:hAnsi="Calibri" w:cs="Calibri"/>
          <w:color w:val="000000"/>
          <w:lang w:eastAsia="fr-FR"/>
        </w:rPr>
        <w:t>apos;attention</w:t>
      </w:r>
      <w:proofErr w:type="spellEnd"/>
      <w:proofErr w:type="gramEnd"/>
      <w:r w:rsidRPr="00520B58">
        <w:rPr>
          <w:rFonts w:ascii="Calibri" w:eastAsia="Times New Roman" w:hAnsi="Calibri" w:cs="Calibri"/>
          <w:color w:val="000000"/>
          <w:lang w:eastAsia="fr-FR"/>
        </w:rPr>
        <w:t>, la charge cognitive, les fonctions exécutives).</w:t>
      </w:r>
    </w:p>
    <w:p w14:paraId="2849A68A"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color w:val="000000"/>
          <w:lang w:eastAsia="fr-FR"/>
        </w:rPr>
        <w:t>Comprendre l’impact des émotions dans les processus d’apprentissage</w:t>
      </w:r>
    </w:p>
    <w:p w14:paraId="2C86CF74"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color w:val="000000"/>
          <w:lang w:eastAsia="fr-FR"/>
        </w:rPr>
        <w:t xml:space="preserve">Identifier quelques stratégies pédagogiques qui permettent </w:t>
      </w:r>
      <w:proofErr w:type="spellStart"/>
      <w:r w:rsidRPr="00520B58">
        <w:rPr>
          <w:rFonts w:ascii="Calibri" w:eastAsia="Times New Roman" w:hAnsi="Calibri" w:cs="Calibri"/>
          <w:color w:val="000000"/>
          <w:lang w:eastAsia="fr-FR"/>
        </w:rPr>
        <w:t>d&amp;</w:t>
      </w:r>
      <w:proofErr w:type="gramStart"/>
      <w:r w:rsidRPr="00520B58">
        <w:rPr>
          <w:rFonts w:ascii="Calibri" w:eastAsia="Times New Roman" w:hAnsi="Calibri" w:cs="Calibri"/>
          <w:color w:val="000000"/>
          <w:lang w:eastAsia="fr-FR"/>
        </w:rPr>
        <w:t>apos;en</w:t>
      </w:r>
      <w:proofErr w:type="spellEnd"/>
      <w:proofErr w:type="gramEnd"/>
      <w:r w:rsidRPr="00520B58">
        <w:rPr>
          <w:rFonts w:ascii="Calibri" w:eastAsia="Times New Roman" w:hAnsi="Calibri" w:cs="Calibri"/>
          <w:color w:val="000000"/>
          <w:lang w:eastAsia="fr-FR"/>
        </w:rPr>
        <w:t xml:space="preserve"> tenir compte de tenir compte des émotions, de répondre aux difficultés et aux obstacles </w:t>
      </w:r>
      <w:proofErr w:type="spellStart"/>
      <w:r w:rsidRPr="00520B58">
        <w:rPr>
          <w:rFonts w:ascii="Calibri" w:eastAsia="Times New Roman" w:hAnsi="Calibri" w:cs="Calibri"/>
          <w:color w:val="000000"/>
          <w:lang w:eastAsia="fr-FR"/>
        </w:rPr>
        <w:t>d&amp;apos;apprentissage</w:t>
      </w:r>
      <w:proofErr w:type="spellEnd"/>
    </w:p>
    <w:p w14:paraId="4AD16E61"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Times New Roman" w:eastAsia="Times New Roman" w:hAnsi="Times New Roman" w:cs="Times New Roman"/>
          <w:sz w:val="24"/>
          <w:szCs w:val="24"/>
          <w:lang w:eastAsia="fr-FR"/>
        </w:rPr>
        <w:t> </w:t>
      </w:r>
    </w:p>
    <w:p w14:paraId="5F8465E3" w14:textId="77777777" w:rsidR="00520B58" w:rsidRPr="00520B58" w:rsidRDefault="00520B58" w:rsidP="00520B58">
      <w:pPr>
        <w:numPr>
          <w:ilvl w:val="0"/>
          <w:numId w:val="2"/>
        </w:numPr>
        <w:spacing w:after="0" w:line="240" w:lineRule="auto"/>
        <w:ind w:left="1440"/>
        <w:jc w:val="both"/>
        <w:rPr>
          <w:rFonts w:ascii="Times New Roman" w:eastAsia="Times New Roman" w:hAnsi="Times New Roman" w:cs="Times New Roman"/>
          <w:sz w:val="24"/>
          <w:szCs w:val="24"/>
          <w:lang w:eastAsia="fr-FR"/>
        </w:rPr>
      </w:pPr>
      <w:r w:rsidRPr="00520B58">
        <w:rPr>
          <w:rFonts w:ascii="Calibri" w:eastAsia="Times New Roman" w:hAnsi="Calibri" w:cs="Calibri"/>
          <w:b/>
          <w:bCs/>
          <w:color w:val="000000"/>
          <w:sz w:val="24"/>
          <w:szCs w:val="24"/>
          <w:lang w:eastAsia="fr-FR"/>
        </w:rPr>
        <w:t>Description et contenus</w:t>
      </w:r>
    </w:p>
    <w:p w14:paraId="7545AFD2"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color w:val="000000"/>
          <w:lang w:eastAsia="fr-FR"/>
        </w:rPr>
        <w:t>Cet enseignement vise à permettre aux étudiants de comprendre les principaux mécanismes cognitifs et affectifs impliqués dans les apprentissages scolaires et d’en tirer des implications pour les pratiques pédagogiques. Le cours présente d’abord les principales fonctions cognitives impliquées dans les apprentissages, notamment les mécanismes attentionnels, les différents systèmes de mémoire, les fonctions exécutives, la prise de décision et la créativité. L’objectif est de permettre aux étudiants de comprendre comment ces processus soutiennent l’acquisition des connaissances et des compétences chez les élèves, ainsi que les difficultés qui peuvent apparaître lorsque ces processus sont mobilisés de manière insuffisante ou inefficace. Une attention particulière est également portée au rôle des émotions dans les apprentissages. Les liens entre émotions, motivation, engagement dans la tâche et réussite scolaire seront abordés afin de mieux comprendre les facteurs susceptibles de favoriser ou de freiner l’apprentissage. Enfin, cet enseignement vise à mettre en relation ces connaissances issues de la psychologie cognitive et de la psychologie de l’éducation avec différentes démarches pédagogiques. Les étudiants seront amenés à identifier des stratégies pédagogiques permettant de prendre en compte le fonctionnement cognitif et émotionnel des élèves, d’anticiper certains obstacles aux apprentissages et de choisir des démarches d’enseignement adaptées aux objectifs visés. À l’issue de cet enseignement, les étudiants devront être capables de mobiliser des connaissances sur les processus cognitifs et affectifs impliqués dans les apprentissages et de les utiliser pour analyser des situations pédagogiques et orienter leurs choix didactiques.</w:t>
      </w:r>
    </w:p>
    <w:p w14:paraId="0D76FCE2"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proofErr w:type="spellStart"/>
      <w:r w:rsidRPr="00520B58">
        <w:rPr>
          <w:rFonts w:ascii="Calibri" w:eastAsia="Times New Roman" w:hAnsi="Calibri" w:cs="Calibri"/>
          <w:color w:val="000000"/>
          <w:sz w:val="20"/>
          <w:szCs w:val="20"/>
          <w:lang w:eastAsia="fr-FR"/>
        </w:rPr>
        <w:t>Duroisin</w:t>
      </w:r>
      <w:proofErr w:type="spellEnd"/>
      <w:r w:rsidRPr="00520B58">
        <w:rPr>
          <w:rFonts w:ascii="Calibri" w:eastAsia="Times New Roman" w:hAnsi="Calibri" w:cs="Calibri"/>
          <w:color w:val="000000"/>
          <w:sz w:val="20"/>
          <w:szCs w:val="20"/>
          <w:lang w:eastAsia="fr-FR"/>
        </w:rPr>
        <w:t xml:space="preserve">, N., &amp; Clerc, J. (2025). Fonctions exécutives, apprentissages et réussite </w:t>
      </w:r>
      <w:proofErr w:type="gramStart"/>
      <w:r w:rsidRPr="00520B58">
        <w:rPr>
          <w:rFonts w:ascii="Calibri" w:eastAsia="Times New Roman" w:hAnsi="Calibri" w:cs="Calibri"/>
          <w:color w:val="000000"/>
          <w:sz w:val="20"/>
          <w:szCs w:val="20"/>
          <w:lang w:eastAsia="fr-FR"/>
        </w:rPr>
        <w:t>scolaire:</w:t>
      </w:r>
      <w:proofErr w:type="gramEnd"/>
      <w:r w:rsidRPr="00520B58">
        <w:rPr>
          <w:rFonts w:ascii="Calibri" w:eastAsia="Times New Roman" w:hAnsi="Calibri" w:cs="Calibri"/>
          <w:color w:val="000000"/>
          <w:sz w:val="20"/>
          <w:szCs w:val="20"/>
          <w:lang w:eastAsia="fr-FR"/>
        </w:rPr>
        <w:t xml:space="preserve"> Concepts, pratiques et outils. Dunod</w:t>
      </w:r>
    </w:p>
    <w:p w14:paraId="28D02BAA"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color w:val="000000"/>
          <w:sz w:val="20"/>
          <w:szCs w:val="20"/>
          <w:lang w:eastAsia="fr-FR"/>
        </w:rPr>
        <w:t>Espinosa, G., &amp; Rousseau, N. (2025). L’affectivité, les émotions et les relations de l’élève à l’école : des clés pour le bien-être et la réussite. Presses de l’Université du Québec.</w:t>
      </w:r>
    </w:p>
    <w:p w14:paraId="5527F020"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proofErr w:type="spellStart"/>
      <w:r w:rsidRPr="00520B58">
        <w:rPr>
          <w:rFonts w:ascii="Calibri" w:eastAsia="Times New Roman" w:hAnsi="Calibri" w:cs="Calibri"/>
          <w:color w:val="222222"/>
          <w:sz w:val="20"/>
          <w:szCs w:val="20"/>
          <w:shd w:val="clear" w:color="auto" w:fill="FFFFFF"/>
          <w:lang w:eastAsia="fr-FR"/>
        </w:rPr>
        <w:t>Fourneret</w:t>
      </w:r>
      <w:proofErr w:type="spellEnd"/>
      <w:r w:rsidRPr="00520B58">
        <w:rPr>
          <w:rFonts w:ascii="Calibri" w:eastAsia="Times New Roman" w:hAnsi="Calibri" w:cs="Calibri"/>
          <w:color w:val="222222"/>
          <w:sz w:val="20"/>
          <w:szCs w:val="20"/>
          <w:shd w:val="clear" w:color="auto" w:fill="FFFFFF"/>
          <w:lang w:eastAsia="fr-FR"/>
        </w:rPr>
        <w:t>, P., &amp; Gentaz, E. (2022). </w:t>
      </w:r>
      <w:r w:rsidRPr="00520B58">
        <w:rPr>
          <w:rFonts w:ascii="Calibri" w:eastAsia="Times New Roman" w:hAnsi="Calibri" w:cs="Calibri"/>
          <w:i/>
          <w:iCs/>
          <w:color w:val="222222"/>
          <w:sz w:val="20"/>
          <w:szCs w:val="20"/>
          <w:lang w:eastAsia="fr-FR"/>
        </w:rPr>
        <w:t xml:space="preserve">Le développement neurocognitif de la naissance à </w:t>
      </w:r>
      <w:proofErr w:type="spellStart"/>
      <w:r w:rsidRPr="00520B58">
        <w:rPr>
          <w:rFonts w:ascii="Calibri" w:eastAsia="Times New Roman" w:hAnsi="Calibri" w:cs="Calibri"/>
          <w:i/>
          <w:iCs/>
          <w:color w:val="222222"/>
          <w:sz w:val="20"/>
          <w:szCs w:val="20"/>
          <w:lang w:eastAsia="fr-FR"/>
        </w:rPr>
        <w:t>l&amp;</w:t>
      </w:r>
      <w:proofErr w:type="gramStart"/>
      <w:r w:rsidRPr="00520B58">
        <w:rPr>
          <w:rFonts w:ascii="Calibri" w:eastAsia="Times New Roman" w:hAnsi="Calibri" w:cs="Calibri"/>
          <w:i/>
          <w:iCs/>
          <w:color w:val="222222"/>
          <w:sz w:val="20"/>
          <w:szCs w:val="20"/>
          <w:lang w:eastAsia="fr-FR"/>
        </w:rPr>
        <w:t>apos;adolescence</w:t>
      </w:r>
      <w:proofErr w:type="spellEnd"/>
      <w:proofErr w:type="gramEnd"/>
      <w:r w:rsidRPr="00520B58">
        <w:rPr>
          <w:rFonts w:ascii="Calibri" w:eastAsia="Times New Roman" w:hAnsi="Calibri" w:cs="Calibri"/>
          <w:color w:val="222222"/>
          <w:sz w:val="20"/>
          <w:szCs w:val="20"/>
          <w:shd w:val="clear" w:color="auto" w:fill="FFFFFF"/>
          <w:lang w:eastAsia="fr-FR"/>
        </w:rPr>
        <w:t xml:space="preserve">. Elsevier </w:t>
      </w:r>
      <w:proofErr w:type="spellStart"/>
      <w:r w:rsidRPr="00520B58">
        <w:rPr>
          <w:rFonts w:ascii="Calibri" w:eastAsia="Times New Roman" w:hAnsi="Calibri" w:cs="Calibri"/>
          <w:color w:val="222222"/>
          <w:sz w:val="20"/>
          <w:szCs w:val="20"/>
          <w:shd w:val="clear" w:color="auto" w:fill="FFFFFF"/>
          <w:lang w:eastAsia="fr-FR"/>
        </w:rPr>
        <w:t>Health</w:t>
      </w:r>
      <w:proofErr w:type="spellEnd"/>
      <w:r w:rsidRPr="00520B58">
        <w:rPr>
          <w:rFonts w:ascii="Calibri" w:eastAsia="Times New Roman" w:hAnsi="Calibri" w:cs="Calibri"/>
          <w:color w:val="222222"/>
          <w:sz w:val="20"/>
          <w:szCs w:val="20"/>
          <w:shd w:val="clear" w:color="auto" w:fill="FFFFFF"/>
          <w:lang w:eastAsia="fr-FR"/>
        </w:rPr>
        <w:t xml:space="preserve"> Sciences.</w:t>
      </w:r>
    </w:p>
    <w:p w14:paraId="7833CD85"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color w:val="222222"/>
          <w:sz w:val="20"/>
          <w:szCs w:val="20"/>
          <w:shd w:val="clear" w:color="auto" w:fill="FFFFFF"/>
          <w:lang w:eastAsia="fr-FR"/>
        </w:rPr>
        <w:t xml:space="preserve">Houdé, O., &amp; </w:t>
      </w:r>
      <w:proofErr w:type="spellStart"/>
      <w:r w:rsidRPr="00520B58">
        <w:rPr>
          <w:rFonts w:ascii="Calibri" w:eastAsia="Times New Roman" w:hAnsi="Calibri" w:cs="Calibri"/>
          <w:color w:val="222222"/>
          <w:sz w:val="20"/>
          <w:szCs w:val="20"/>
          <w:shd w:val="clear" w:color="auto" w:fill="FFFFFF"/>
          <w:lang w:eastAsia="fr-FR"/>
        </w:rPr>
        <w:t>Borst</w:t>
      </w:r>
      <w:proofErr w:type="spellEnd"/>
      <w:r w:rsidRPr="00520B58">
        <w:rPr>
          <w:rFonts w:ascii="Calibri" w:eastAsia="Times New Roman" w:hAnsi="Calibri" w:cs="Calibri"/>
          <w:color w:val="222222"/>
          <w:sz w:val="20"/>
          <w:szCs w:val="20"/>
          <w:shd w:val="clear" w:color="auto" w:fill="FFFFFF"/>
          <w:lang w:eastAsia="fr-FR"/>
        </w:rPr>
        <w:t>, G. (2022). </w:t>
      </w:r>
      <w:r w:rsidRPr="00520B58">
        <w:rPr>
          <w:rFonts w:ascii="Calibri" w:eastAsia="Times New Roman" w:hAnsi="Calibri" w:cs="Calibri"/>
          <w:i/>
          <w:iCs/>
          <w:color w:val="222222"/>
          <w:sz w:val="20"/>
          <w:szCs w:val="20"/>
          <w:lang w:eastAsia="fr-FR"/>
        </w:rPr>
        <w:t>Le cerveau et les apprentissages</w:t>
      </w:r>
      <w:r w:rsidRPr="00520B58">
        <w:rPr>
          <w:rFonts w:ascii="Calibri" w:eastAsia="Times New Roman" w:hAnsi="Calibri" w:cs="Calibri"/>
          <w:color w:val="222222"/>
          <w:sz w:val="20"/>
          <w:szCs w:val="20"/>
          <w:shd w:val="clear" w:color="auto" w:fill="FFFFFF"/>
          <w:lang w:eastAsia="fr-FR"/>
        </w:rPr>
        <w:t>. Nathan.</w:t>
      </w:r>
      <w:r w:rsidRPr="00520B58">
        <w:rPr>
          <w:rFonts w:ascii="Calibri" w:eastAsia="Times New Roman" w:hAnsi="Calibri" w:cs="Calibri"/>
          <w:color w:val="000000"/>
          <w:sz w:val="20"/>
          <w:szCs w:val="20"/>
          <w:lang w:eastAsia="fr-FR"/>
        </w:rPr>
        <w:t> </w:t>
      </w:r>
    </w:p>
    <w:p w14:paraId="7660559C"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proofErr w:type="spellStart"/>
      <w:r w:rsidRPr="00520B58">
        <w:rPr>
          <w:rFonts w:ascii="Calibri" w:eastAsia="Times New Roman" w:hAnsi="Calibri" w:cs="Calibri"/>
          <w:color w:val="222222"/>
          <w:sz w:val="20"/>
          <w:szCs w:val="20"/>
          <w:shd w:val="clear" w:color="auto" w:fill="FFFFFF"/>
          <w:lang w:eastAsia="fr-FR"/>
        </w:rPr>
        <w:t>Poirel</w:t>
      </w:r>
      <w:proofErr w:type="spellEnd"/>
      <w:r w:rsidRPr="00520B58">
        <w:rPr>
          <w:rFonts w:ascii="Calibri" w:eastAsia="Times New Roman" w:hAnsi="Calibri" w:cs="Calibri"/>
          <w:color w:val="222222"/>
          <w:sz w:val="20"/>
          <w:szCs w:val="20"/>
          <w:shd w:val="clear" w:color="auto" w:fill="FFFFFF"/>
          <w:lang w:eastAsia="fr-FR"/>
        </w:rPr>
        <w:t xml:space="preserve">, N., &amp; </w:t>
      </w:r>
      <w:proofErr w:type="spellStart"/>
      <w:r w:rsidRPr="00520B58">
        <w:rPr>
          <w:rFonts w:ascii="Calibri" w:eastAsia="Times New Roman" w:hAnsi="Calibri" w:cs="Calibri"/>
          <w:color w:val="222222"/>
          <w:sz w:val="20"/>
          <w:szCs w:val="20"/>
          <w:shd w:val="clear" w:color="auto" w:fill="FFFFFF"/>
          <w:lang w:eastAsia="fr-FR"/>
        </w:rPr>
        <w:t>Borst</w:t>
      </w:r>
      <w:proofErr w:type="spellEnd"/>
      <w:r w:rsidRPr="00520B58">
        <w:rPr>
          <w:rFonts w:ascii="Calibri" w:eastAsia="Times New Roman" w:hAnsi="Calibri" w:cs="Calibri"/>
          <w:color w:val="222222"/>
          <w:sz w:val="20"/>
          <w:szCs w:val="20"/>
          <w:shd w:val="clear" w:color="auto" w:fill="FFFFFF"/>
          <w:lang w:eastAsia="fr-FR"/>
        </w:rPr>
        <w:t>, G. (2020). </w:t>
      </w:r>
      <w:r w:rsidRPr="00520B58">
        <w:rPr>
          <w:rFonts w:ascii="Calibri" w:eastAsia="Times New Roman" w:hAnsi="Calibri" w:cs="Calibri"/>
          <w:i/>
          <w:iCs/>
          <w:color w:val="222222"/>
          <w:sz w:val="20"/>
          <w:szCs w:val="20"/>
          <w:lang w:eastAsia="fr-FR"/>
        </w:rPr>
        <w:t>Neurosciences cognitives développementales</w:t>
      </w:r>
      <w:r w:rsidRPr="00520B58">
        <w:rPr>
          <w:rFonts w:ascii="Calibri" w:eastAsia="Times New Roman" w:hAnsi="Calibri" w:cs="Calibri"/>
          <w:color w:val="222222"/>
          <w:sz w:val="20"/>
          <w:szCs w:val="20"/>
          <w:shd w:val="clear" w:color="auto" w:fill="FFFFFF"/>
          <w:lang w:eastAsia="fr-FR"/>
        </w:rPr>
        <w:t>. De Boeck Supérieur.</w:t>
      </w:r>
    </w:p>
    <w:p w14:paraId="68C129E5"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proofErr w:type="spellStart"/>
      <w:r w:rsidRPr="00520B58">
        <w:rPr>
          <w:rFonts w:ascii="Calibri" w:eastAsia="Times New Roman" w:hAnsi="Calibri" w:cs="Calibri"/>
          <w:color w:val="3A3A3A"/>
          <w:sz w:val="20"/>
          <w:szCs w:val="20"/>
          <w:shd w:val="clear" w:color="auto" w:fill="FFFFFF"/>
          <w:lang w:eastAsia="fr-FR"/>
        </w:rPr>
        <w:t>Vianin</w:t>
      </w:r>
      <w:proofErr w:type="spellEnd"/>
      <w:r w:rsidRPr="00520B58">
        <w:rPr>
          <w:rFonts w:ascii="Calibri" w:eastAsia="Times New Roman" w:hAnsi="Calibri" w:cs="Calibri"/>
          <w:color w:val="3A3A3A"/>
          <w:sz w:val="20"/>
          <w:szCs w:val="20"/>
          <w:shd w:val="clear" w:color="auto" w:fill="FFFFFF"/>
          <w:lang w:eastAsia="fr-FR"/>
        </w:rPr>
        <w:t>, P. (2023). </w:t>
      </w:r>
      <w:r w:rsidRPr="00520B58">
        <w:rPr>
          <w:rFonts w:ascii="Calibri" w:eastAsia="Times New Roman" w:hAnsi="Calibri" w:cs="Calibri"/>
          <w:i/>
          <w:iCs/>
          <w:color w:val="3A3A3A"/>
          <w:sz w:val="20"/>
          <w:szCs w:val="20"/>
          <w:lang w:eastAsia="fr-FR"/>
        </w:rPr>
        <w:t>La motivation scolaire : comment susciter le désir d’apprendre ?</w:t>
      </w:r>
      <w:r w:rsidRPr="00520B58">
        <w:rPr>
          <w:rFonts w:ascii="Calibri" w:eastAsia="Times New Roman" w:hAnsi="Calibri" w:cs="Calibri"/>
          <w:color w:val="3A3A3A"/>
          <w:sz w:val="20"/>
          <w:szCs w:val="20"/>
          <w:shd w:val="clear" w:color="auto" w:fill="FFFFFF"/>
          <w:lang w:eastAsia="fr-FR"/>
        </w:rPr>
        <w:t> (Edition revue et augmentée). De Boeck Supérieur</w:t>
      </w:r>
    </w:p>
    <w:p w14:paraId="55712981"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Times New Roman" w:eastAsia="Times New Roman" w:hAnsi="Times New Roman" w:cs="Times New Roman"/>
          <w:sz w:val="24"/>
          <w:szCs w:val="24"/>
          <w:lang w:eastAsia="fr-FR"/>
        </w:rPr>
        <w:t> </w:t>
      </w:r>
    </w:p>
    <w:p w14:paraId="7152289B" w14:textId="77777777" w:rsidR="00520B58" w:rsidRPr="00520B58" w:rsidRDefault="00520B58" w:rsidP="00520B58">
      <w:pPr>
        <w:spacing w:after="0" w:line="240" w:lineRule="auto"/>
        <w:ind w:left="360"/>
        <w:jc w:val="both"/>
        <w:rPr>
          <w:rFonts w:ascii="Times New Roman" w:eastAsia="Times New Roman" w:hAnsi="Times New Roman" w:cs="Times New Roman"/>
          <w:sz w:val="24"/>
          <w:szCs w:val="24"/>
          <w:lang w:eastAsia="fr-FR"/>
        </w:rPr>
      </w:pPr>
      <w:r w:rsidRPr="00520B58">
        <w:rPr>
          <w:rFonts w:ascii="Calibri" w:eastAsia="Times New Roman" w:hAnsi="Calibri" w:cs="Calibri"/>
          <w:color w:val="000000"/>
          <w:sz w:val="24"/>
          <w:szCs w:val="24"/>
          <w:lang w:eastAsia="fr-FR"/>
        </w:rPr>
        <w:t>6h CM : Développement cognitif – fonctions cognitives et exécutives Développement conatif – socio-affectif et motivation</w:t>
      </w:r>
    </w:p>
    <w:p w14:paraId="25D7F544" w14:textId="77777777" w:rsidR="007C1A4D" w:rsidRDefault="007C1A4D"/>
    <w:sectPr w:rsidR="007C1A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C34E7"/>
    <w:multiLevelType w:val="multilevel"/>
    <w:tmpl w:val="8648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D433BF"/>
    <w:multiLevelType w:val="multilevel"/>
    <w:tmpl w:val="E348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CDC"/>
    <w:rsid w:val="00520B58"/>
    <w:rsid w:val="007C1A4D"/>
    <w:rsid w:val="00E84C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BC178-F5ED-4115-8EA6-DB1F0A90E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data">
    <w:name w:val="docdata"/>
    <w:aliases w:val="docy,v5,22049,bqiaagaaeyqcaaagiaiaaam9rgaabqbmaaaaaaaaaaaaaaaaaaaaaaaaaaaaaaaaaaaaaaaaaaaaaaaaaaaaaaaaaaaaaaaaaaaaaaaaaaaaaaaaaaaaaaaaaaaaaaaaaaaaaaaaaaaaaaaaaaaaaaaaaaaaaaaaaaaaaaaaaaaaaaaaaaaaaaaaaaaaaaaaaaaaaaaaaaaaaaaaaaaaaaaaaaaaaaaaaaaaaaa"/>
    <w:basedOn w:val="Normal"/>
    <w:rsid w:val="00520B5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520B5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91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521</Words>
  <Characters>2869</Characters>
  <Application>Microsoft Office Word</Application>
  <DocSecurity>0</DocSecurity>
  <Lines>23</Lines>
  <Paragraphs>6</Paragraphs>
  <ScaleCrop>false</ScaleCrop>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2026-09-04T06:03:00Z</dcterms:created>
  <dcterms:modified xsi:type="dcterms:W3CDTF">2026-09-04T06:03:00Z</dcterms:modified>
</cp:coreProperties>
</file>