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54C99" w14:textId="77777777" w:rsidR="00D14C6F" w:rsidRDefault="00D14C6F" w:rsidP="00D14C6F">
      <w:pPr>
        <w:jc w:val="both"/>
        <w:rPr>
          <w:rFonts w:asciiTheme="majorHAnsi" w:eastAsia="Arial" w:hAnsiTheme="majorHAnsi" w:cstheme="majorHAnsi"/>
          <w:b/>
          <w:bCs/>
          <w:sz w:val="24"/>
          <w:szCs w:val="24"/>
        </w:rPr>
      </w:pPr>
      <w:r>
        <w:rPr>
          <w:rFonts w:asciiTheme="majorHAnsi" w:eastAsia="Arial" w:hAnsiTheme="majorHAnsi" w:cstheme="majorHAnsi"/>
          <w:b/>
          <w:bCs/>
          <w:sz w:val="24"/>
          <w:szCs w:val="24"/>
        </w:rPr>
        <w:t>Processus d’apprentissage</w:t>
      </w:r>
    </w:p>
    <w:p w14:paraId="6788576E" w14:textId="77777777" w:rsidR="00D14C6F" w:rsidRDefault="00D14C6F" w:rsidP="00D14C6F">
      <w:pPr>
        <w:jc w:val="both"/>
        <w:rPr>
          <w:rFonts w:asciiTheme="majorHAnsi" w:eastAsia="Arial" w:hAnsiTheme="majorHAnsi" w:cstheme="majorHAnsi"/>
          <w:b/>
          <w:bCs/>
          <w:sz w:val="24"/>
          <w:szCs w:val="24"/>
        </w:rPr>
      </w:pPr>
    </w:p>
    <w:p w14:paraId="748F0C98" w14:textId="77777777" w:rsidR="00D14C6F" w:rsidRPr="00AA0FC0" w:rsidRDefault="00D14C6F" w:rsidP="00D14C6F">
      <w:pPr>
        <w:pStyle w:val="Paragraphedeliste"/>
        <w:numPr>
          <w:ilvl w:val="0"/>
          <w:numId w:val="2"/>
        </w:numPr>
        <w:pBdr>
          <w:top w:val="nil"/>
          <w:left w:val="nil"/>
          <w:bottom w:val="nil"/>
          <w:right w:val="nil"/>
          <w:between w:val="nil"/>
        </w:pBdr>
        <w:spacing w:after="180"/>
        <w:jc w:val="right"/>
        <w:rPr>
          <w:rFonts w:asciiTheme="majorHAnsi" w:hAnsiTheme="majorHAnsi" w:cstheme="majorHAnsi"/>
          <w:b/>
          <w:bCs/>
          <w:color w:val="00B050"/>
          <w:sz w:val="24"/>
          <w:szCs w:val="24"/>
        </w:rPr>
      </w:pPr>
      <w:r w:rsidRPr="00AA0FC0">
        <w:rPr>
          <w:rFonts w:asciiTheme="majorHAnsi" w:hAnsiTheme="majorHAnsi" w:cstheme="majorHAnsi"/>
          <w:b/>
          <w:bCs/>
          <w:color w:val="00B050"/>
          <w:sz w:val="24"/>
          <w:szCs w:val="24"/>
        </w:rPr>
        <w:t>5h COMMUN</w:t>
      </w:r>
      <w:r>
        <w:rPr>
          <w:rFonts w:asciiTheme="majorHAnsi" w:hAnsiTheme="majorHAnsi" w:cstheme="majorHAnsi"/>
          <w:b/>
          <w:bCs/>
          <w:color w:val="00B050"/>
          <w:sz w:val="24"/>
          <w:szCs w:val="24"/>
        </w:rPr>
        <w:t xml:space="preserve"> AUX TROIS MENTIONS</w:t>
      </w:r>
      <w:r w:rsidRPr="00AA0FC0">
        <w:rPr>
          <w:rFonts w:asciiTheme="majorHAnsi" w:hAnsiTheme="majorHAnsi" w:cstheme="majorHAnsi"/>
          <w:b/>
          <w:bCs/>
          <w:color w:val="00B050"/>
          <w:sz w:val="24"/>
          <w:szCs w:val="24"/>
        </w:rPr>
        <w:t xml:space="preserve"> </w:t>
      </w:r>
    </w:p>
    <w:p w14:paraId="2EE32A2A" w14:textId="77777777" w:rsidR="00D14C6F" w:rsidRPr="00927075" w:rsidRDefault="00D14C6F" w:rsidP="00D14C6F">
      <w:pPr>
        <w:pStyle w:val="Paragraphedeliste"/>
        <w:numPr>
          <w:ilvl w:val="0"/>
          <w:numId w:val="2"/>
        </w:numPr>
        <w:pBdr>
          <w:top w:val="nil"/>
          <w:left w:val="nil"/>
          <w:bottom w:val="nil"/>
          <w:right w:val="nil"/>
          <w:between w:val="nil"/>
        </w:pBdr>
        <w:spacing w:after="180"/>
        <w:jc w:val="right"/>
        <w:rPr>
          <w:rFonts w:asciiTheme="majorHAnsi" w:hAnsiTheme="majorHAnsi" w:cstheme="majorHAnsi"/>
          <w:b/>
          <w:bCs/>
          <w:color w:val="70AD47" w:themeColor="accent6"/>
          <w:sz w:val="24"/>
          <w:szCs w:val="24"/>
        </w:rPr>
      </w:pPr>
      <w:r w:rsidRPr="00927075">
        <w:rPr>
          <w:rFonts w:asciiTheme="majorHAnsi" w:hAnsiTheme="majorHAnsi" w:cstheme="majorHAnsi"/>
          <w:b/>
          <w:bCs/>
          <w:color w:val="70AD47" w:themeColor="accent6"/>
          <w:sz w:val="24"/>
          <w:szCs w:val="24"/>
        </w:rPr>
        <w:t>6h SPECIFIQUE 2</w:t>
      </w:r>
      <w:r w:rsidRPr="00927075">
        <w:rPr>
          <w:rFonts w:asciiTheme="majorHAnsi" w:hAnsiTheme="majorHAnsi" w:cstheme="majorHAnsi"/>
          <w:b/>
          <w:bCs/>
          <w:color w:val="70AD47" w:themeColor="accent6"/>
          <w:sz w:val="24"/>
          <w:szCs w:val="24"/>
          <w:vertAlign w:val="superscript"/>
        </w:rPr>
        <w:t>nd</w:t>
      </w:r>
      <w:r w:rsidRPr="00927075">
        <w:rPr>
          <w:rFonts w:asciiTheme="majorHAnsi" w:hAnsiTheme="majorHAnsi" w:cstheme="majorHAnsi"/>
          <w:b/>
          <w:bCs/>
          <w:color w:val="70AD47" w:themeColor="accent6"/>
          <w:sz w:val="24"/>
          <w:szCs w:val="24"/>
        </w:rPr>
        <w:t xml:space="preserve"> DEGRE ET EE</w:t>
      </w:r>
    </w:p>
    <w:tbl>
      <w:tblPr>
        <w:tblW w:w="89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7"/>
        <w:gridCol w:w="7229"/>
      </w:tblGrid>
      <w:tr w:rsidR="00D14C6F" w:rsidRPr="00E540F5" w14:paraId="0D67E8DA" w14:textId="77777777" w:rsidTr="00416540">
        <w:trPr>
          <w:trHeight w:val="193"/>
        </w:trPr>
        <w:tc>
          <w:tcPr>
            <w:tcW w:w="1707" w:type="dxa"/>
            <w:shd w:val="clear" w:color="auto" w:fill="auto"/>
            <w:tcMar>
              <w:top w:w="100" w:type="dxa"/>
              <w:left w:w="100" w:type="dxa"/>
              <w:bottom w:w="100" w:type="dxa"/>
              <w:right w:w="100" w:type="dxa"/>
            </w:tcMar>
          </w:tcPr>
          <w:p w14:paraId="5BD56C57" w14:textId="77777777" w:rsidR="00D14C6F" w:rsidRPr="00E540F5" w:rsidRDefault="00D14C6F" w:rsidP="00416540">
            <w:pPr>
              <w:widowControl w:val="0"/>
              <w:jc w:val="both"/>
              <w:rPr>
                <w:rFonts w:ascii="Calibri" w:eastAsia="Calibri" w:hAnsi="Calibri" w:cs="Calibri"/>
                <w:color w:val="303030"/>
                <w:sz w:val="24"/>
                <w:szCs w:val="24"/>
              </w:rPr>
            </w:pPr>
            <w:proofErr w:type="gramStart"/>
            <w:r w:rsidRPr="00E540F5">
              <w:rPr>
                <w:rFonts w:ascii="Calibri" w:eastAsia="Calibri" w:hAnsi="Calibri" w:cs="Calibri"/>
                <w:color w:val="303030"/>
                <w:sz w:val="24"/>
                <w:szCs w:val="24"/>
              </w:rPr>
              <w:t>volume</w:t>
            </w:r>
            <w:proofErr w:type="gramEnd"/>
            <w:r w:rsidRPr="00E540F5">
              <w:rPr>
                <w:rFonts w:ascii="Calibri" w:eastAsia="Calibri" w:hAnsi="Calibri" w:cs="Calibri"/>
                <w:color w:val="303030"/>
                <w:sz w:val="24"/>
                <w:szCs w:val="24"/>
              </w:rPr>
              <w:t xml:space="preserve"> horaire</w:t>
            </w:r>
          </w:p>
        </w:tc>
        <w:tc>
          <w:tcPr>
            <w:tcW w:w="7229" w:type="dxa"/>
            <w:shd w:val="clear" w:color="auto" w:fill="auto"/>
            <w:tcMar>
              <w:top w:w="100" w:type="dxa"/>
              <w:left w:w="100" w:type="dxa"/>
              <w:bottom w:w="100" w:type="dxa"/>
              <w:right w:w="100" w:type="dxa"/>
            </w:tcMar>
          </w:tcPr>
          <w:p w14:paraId="25AA32B4" w14:textId="77777777" w:rsidR="00D14C6F" w:rsidRPr="00E540F5" w:rsidRDefault="00D14C6F" w:rsidP="00416540">
            <w:pPr>
              <w:widowControl w:val="0"/>
              <w:jc w:val="both"/>
              <w:rPr>
                <w:rFonts w:ascii="Calibri" w:eastAsia="Calibri" w:hAnsi="Calibri" w:cs="Calibri"/>
                <w:b/>
                <w:bCs/>
                <w:color w:val="303030"/>
                <w:sz w:val="24"/>
                <w:szCs w:val="24"/>
              </w:rPr>
            </w:pPr>
            <w:r>
              <w:rPr>
                <w:rFonts w:ascii="Calibri" w:eastAsia="Calibri" w:hAnsi="Calibri" w:cs="Calibri"/>
                <w:b/>
                <w:bCs/>
                <w:color w:val="303030"/>
                <w:sz w:val="24"/>
                <w:szCs w:val="24"/>
              </w:rPr>
              <w:t xml:space="preserve">5 </w:t>
            </w:r>
            <w:r w:rsidRPr="00E540F5">
              <w:rPr>
                <w:rFonts w:ascii="Calibri" w:eastAsia="Calibri" w:hAnsi="Calibri" w:cs="Calibri"/>
                <w:b/>
                <w:bCs/>
                <w:color w:val="303030"/>
                <w:sz w:val="24"/>
                <w:szCs w:val="24"/>
              </w:rPr>
              <w:t>H</w:t>
            </w:r>
          </w:p>
        </w:tc>
      </w:tr>
      <w:tr w:rsidR="00D14C6F" w:rsidRPr="00E540F5" w14:paraId="51970E99" w14:textId="77777777" w:rsidTr="00416540">
        <w:trPr>
          <w:trHeight w:val="193"/>
        </w:trPr>
        <w:tc>
          <w:tcPr>
            <w:tcW w:w="1707" w:type="dxa"/>
            <w:shd w:val="clear" w:color="auto" w:fill="auto"/>
            <w:tcMar>
              <w:top w:w="100" w:type="dxa"/>
              <w:left w:w="100" w:type="dxa"/>
              <w:bottom w:w="100" w:type="dxa"/>
              <w:right w:w="100" w:type="dxa"/>
            </w:tcMar>
          </w:tcPr>
          <w:p w14:paraId="665CB548" w14:textId="77777777" w:rsidR="00D14C6F" w:rsidRPr="00E540F5" w:rsidRDefault="00D14C6F" w:rsidP="00416540">
            <w:pPr>
              <w:widowControl w:val="0"/>
              <w:jc w:val="both"/>
              <w:rPr>
                <w:rFonts w:ascii="Calibri" w:eastAsia="Calibri" w:hAnsi="Calibri" w:cs="Calibri"/>
                <w:color w:val="303030"/>
                <w:sz w:val="24"/>
                <w:szCs w:val="24"/>
              </w:rPr>
            </w:pPr>
            <w:proofErr w:type="gramStart"/>
            <w:r w:rsidRPr="00E540F5">
              <w:rPr>
                <w:rFonts w:ascii="Calibri" w:eastAsia="Calibri" w:hAnsi="Calibri" w:cs="Calibri"/>
                <w:color w:val="303030"/>
                <w:sz w:val="24"/>
                <w:szCs w:val="24"/>
              </w:rPr>
              <w:t>modalités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A36CF1" w14:textId="77777777" w:rsidR="00D14C6F" w:rsidRPr="0003439A" w:rsidRDefault="00D14C6F" w:rsidP="00416540">
            <w:pPr>
              <w:widowControl w:val="0"/>
              <w:jc w:val="both"/>
              <w:rPr>
                <w:rFonts w:ascii="Calibri" w:eastAsia="Calibri" w:hAnsi="Calibri" w:cs="Calibri"/>
                <w:color w:val="303030"/>
                <w:sz w:val="24"/>
                <w:szCs w:val="24"/>
              </w:rPr>
            </w:pPr>
            <w:r w:rsidRPr="00274107">
              <w:rPr>
                <w:rFonts w:ascii="Calibri" w:eastAsia="Calibri" w:hAnsi="Calibri" w:cs="Calibri"/>
                <w:color w:val="303030"/>
                <w:sz w:val="24"/>
                <w:szCs w:val="24"/>
              </w:rPr>
              <w:t xml:space="preserve">2H </w:t>
            </w:r>
            <w:r>
              <w:rPr>
                <w:rFonts w:ascii="Calibri" w:eastAsia="Calibri" w:hAnsi="Calibri" w:cs="Calibri"/>
                <w:color w:val="303030"/>
                <w:sz w:val="24"/>
                <w:szCs w:val="24"/>
              </w:rPr>
              <w:t>TD commun 3h TD commun   et 6h TD spécifique</w:t>
            </w:r>
          </w:p>
        </w:tc>
      </w:tr>
      <w:tr w:rsidR="00D14C6F" w:rsidRPr="00E540F5" w14:paraId="65E9A585" w14:textId="77777777" w:rsidTr="00416540">
        <w:trPr>
          <w:trHeight w:val="405"/>
        </w:trPr>
        <w:tc>
          <w:tcPr>
            <w:tcW w:w="1707" w:type="dxa"/>
            <w:shd w:val="clear" w:color="auto" w:fill="auto"/>
            <w:tcMar>
              <w:top w:w="100" w:type="dxa"/>
              <w:left w:w="100" w:type="dxa"/>
              <w:bottom w:w="100" w:type="dxa"/>
              <w:right w:w="100" w:type="dxa"/>
            </w:tcMar>
          </w:tcPr>
          <w:p w14:paraId="2B17F480" w14:textId="77777777" w:rsidR="00D14C6F" w:rsidRPr="00E540F5" w:rsidRDefault="00D14C6F" w:rsidP="00416540">
            <w:pPr>
              <w:widowControl w:val="0"/>
              <w:jc w:val="both"/>
              <w:rPr>
                <w:rFonts w:ascii="Calibri" w:eastAsia="Calibri" w:hAnsi="Calibri" w:cs="Calibri"/>
                <w:color w:val="303030"/>
                <w:sz w:val="24"/>
                <w:szCs w:val="24"/>
              </w:rPr>
            </w:pPr>
            <w:proofErr w:type="gramStart"/>
            <w:r w:rsidRPr="00E540F5">
              <w:rPr>
                <w:rFonts w:ascii="Calibri" w:eastAsia="Calibri" w:hAnsi="Calibri" w:cs="Calibri"/>
                <w:color w:val="303030"/>
                <w:sz w:val="24"/>
                <w:szCs w:val="24"/>
              </w:rPr>
              <w:t>intervenants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0BA213" w14:textId="77777777" w:rsidR="00D14C6F" w:rsidRPr="00AA0FC0" w:rsidRDefault="00D14C6F" w:rsidP="00416540">
            <w:pPr>
              <w:widowControl w:val="0"/>
              <w:jc w:val="both"/>
              <w:rPr>
                <w:rFonts w:ascii="Calibri" w:eastAsia="Calibri" w:hAnsi="Calibri" w:cs="Calibri"/>
                <w:color w:val="303030"/>
                <w:sz w:val="24"/>
                <w:szCs w:val="24"/>
              </w:rPr>
            </w:pPr>
            <w:r w:rsidRPr="00AA0FC0">
              <w:rPr>
                <w:rFonts w:ascii="Calibri" w:eastAsia="Calibri" w:hAnsi="Calibri" w:cs="Calibri"/>
                <w:color w:val="303030"/>
                <w:sz w:val="24"/>
                <w:szCs w:val="24"/>
              </w:rPr>
              <w:t xml:space="preserve">Paris Cité </w:t>
            </w:r>
          </w:p>
          <w:p w14:paraId="465588FF" w14:textId="77777777" w:rsidR="00D14C6F" w:rsidRPr="00AA0FC0" w:rsidRDefault="00D14C6F" w:rsidP="00416540">
            <w:pPr>
              <w:widowControl w:val="0"/>
              <w:jc w:val="both"/>
              <w:rPr>
                <w:rFonts w:ascii="Calibri" w:eastAsia="Calibri" w:hAnsi="Calibri" w:cs="Calibri"/>
                <w:color w:val="303030"/>
                <w:sz w:val="24"/>
                <w:szCs w:val="24"/>
              </w:rPr>
            </w:pPr>
            <w:r w:rsidRPr="00AA0FC0">
              <w:rPr>
                <w:rFonts w:ascii="Calibri" w:eastAsia="Calibri" w:hAnsi="Calibri" w:cs="Calibri"/>
                <w:color w:val="303030"/>
                <w:sz w:val="24"/>
                <w:szCs w:val="24"/>
              </w:rPr>
              <w:t xml:space="preserve">DEI </w:t>
            </w:r>
          </w:p>
          <w:p w14:paraId="5A756D29" w14:textId="77777777" w:rsidR="00D14C6F" w:rsidRPr="0003439A" w:rsidRDefault="00D14C6F" w:rsidP="00416540">
            <w:pPr>
              <w:widowControl w:val="0"/>
              <w:jc w:val="both"/>
              <w:rPr>
                <w:rFonts w:ascii="Calibri" w:eastAsia="Calibri" w:hAnsi="Calibri" w:cs="Calibri"/>
                <w:color w:val="303030"/>
                <w:sz w:val="24"/>
                <w:szCs w:val="24"/>
              </w:rPr>
            </w:pPr>
            <w:r w:rsidRPr="00AA0FC0">
              <w:rPr>
                <w:rFonts w:ascii="Calibri" w:eastAsia="Calibri" w:hAnsi="Calibri" w:cs="Calibri"/>
                <w:color w:val="303030"/>
                <w:sz w:val="24"/>
                <w:szCs w:val="24"/>
              </w:rPr>
              <w:t xml:space="preserve">Référents parcours EI </w:t>
            </w:r>
          </w:p>
        </w:tc>
      </w:tr>
    </w:tbl>
    <w:p w14:paraId="4F7FC12C" w14:textId="77777777" w:rsidR="00D14C6F" w:rsidRPr="0003439A" w:rsidRDefault="00D14C6F" w:rsidP="00D14C6F">
      <w:pPr>
        <w:ind w:left="360"/>
        <w:jc w:val="both"/>
        <w:rPr>
          <w:rFonts w:asciiTheme="majorHAnsi" w:eastAsia="Arial" w:hAnsiTheme="majorHAnsi" w:cstheme="majorHAnsi"/>
          <w:sz w:val="24"/>
          <w:szCs w:val="24"/>
        </w:rPr>
      </w:pPr>
    </w:p>
    <w:p w14:paraId="7322975D" w14:textId="77777777" w:rsidR="00D14C6F" w:rsidRPr="00274107" w:rsidRDefault="00D14C6F" w:rsidP="00D14C6F">
      <w:pPr>
        <w:pStyle w:val="Paragraphedeliste"/>
        <w:numPr>
          <w:ilvl w:val="0"/>
          <w:numId w:val="1"/>
        </w:numPr>
        <w:rPr>
          <w:rFonts w:asciiTheme="majorHAnsi" w:hAnsiTheme="majorHAnsi" w:cstheme="majorHAnsi"/>
          <w:b/>
          <w:bCs/>
          <w:sz w:val="24"/>
          <w:szCs w:val="24"/>
        </w:rPr>
      </w:pPr>
      <w:r w:rsidRPr="007C292D">
        <w:rPr>
          <w:rFonts w:asciiTheme="majorHAnsi" w:hAnsiTheme="majorHAnsi" w:cstheme="majorHAnsi"/>
          <w:b/>
          <w:bCs/>
          <w:sz w:val="24"/>
          <w:szCs w:val="24"/>
        </w:rPr>
        <w:t xml:space="preserve">Domaine de compétences professionnelles visé </w:t>
      </w:r>
    </w:p>
    <w:p w14:paraId="1115B796" w14:textId="77777777" w:rsidR="00D14C6F" w:rsidRDefault="00D14C6F" w:rsidP="00D14C6F">
      <w:pPr>
        <w:ind w:left="360"/>
        <w:jc w:val="both"/>
        <w:rPr>
          <w:rFonts w:asciiTheme="majorHAnsi" w:eastAsia="Calibri" w:hAnsiTheme="majorHAnsi" w:cstheme="majorHAnsi"/>
          <w:i/>
          <w:iCs/>
          <w:sz w:val="24"/>
          <w:szCs w:val="24"/>
        </w:rPr>
      </w:pPr>
      <w:r w:rsidRPr="00340DEC">
        <w:rPr>
          <w:rFonts w:asciiTheme="majorHAnsi" w:eastAsia="Calibri" w:hAnsiTheme="majorHAnsi" w:cstheme="majorHAnsi"/>
          <w:i/>
          <w:iCs/>
          <w:sz w:val="24"/>
          <w:szCs w:val="24"/>
        </w:rPr>
        <w:t xml:space="preserve">(Conformément au référentiel de formation professorat </w:t>
      </w:r>
      <w:r>
        <w:rPr>
          <w:rFonts w:asciiTheme="majorHAnsi" w:eastAsia="Calibri" w:hAnsiTheme="majorHAnsi" w:cstheme="majorHAnsi"/>
          <w:i/>
          <w:iCs/>
          <w:sz w:val="24"/>
          <w:szCs w:val="24"/>
        </w:rPr>
        <w:t>2</w:t>
      </w:r>
      <w:r w:rsidRPr="00AB5E80">
        <w:rPr>
          <w:rFonts w:asciiTheme="majorHAnsi" w:eastAsia="Calibri" w:hAnsiTheme="majorHAnsi" w:cstheme="majorHAnsi"/>
          <w:i/>
          <w:iCs/>
          <w:sz w:val="24"/>
          <w:szCs w:val="24"/>
          <w:vertAlign w:val="superscript"/>
        </w:rPr>
        <w:t>nd</w:t>
      </w:r>
      <w:r>
        <w:rPr>
          <w:rFonts w:asciiTheme="majorHAnsi" w:eastAsia="Calibri" w:hAnsiTheme="majorHAnsi" w:cstheme="majorHAnsi"/>
          <w:i/>
          <w:iCs/>
          <w:sz w:val="24"/>
          <w:szCs w:val="24"/>
        </w:rPr>
        <w:t xml:space="preserve"> degré, EE</w:t>
      </w:r>
      <w:r w:rsidRPr="00340DEC">
        <w:rPr>
          <w:rFonts w:asciiTheme="majorHAnsi" w:eastAsia="Calibri" w:hAnsiTheme="majorHAnsi" w:cstheme="majorHAnsi"/>
          <w:i/>
          <w:iCs/>
          <w:sz w:val="24"/>
          <w:szCs w:val="24"/>
        </w:rPr>
        <w:t>)</w:t>
      </w:r>
    </w:p>
    <w:p w14:paraId="09309F15" w14:textId="77777777" w:rsidR="00D14C6F" w:rsidRDefault="00D14C6F" w:rsidP="00D14C6F">
      <w:pPr>
        <w:jc w:val="both"/>
        <w:rPr>
          <w:rFonts w:asciiTheme="majorHAnsi" w:eastAsia="Calibri" w:hAnsiTheme="majorHAnsi" w:cstheme="majorHAnsi"/>
          <w:sz w:val="24"/>
          <w:szCs w:val="24"/>
        </w:rPr>
      </w:pPr>
    </w:p>
    <w:p w14:paraId="295394D7" w14:textId="77777777" w:rsidR="00D14C6F" w:rsidRPr="009A1EDC" w:rsidRDefault="00D14C6F" w:rsidP="00D14C6F">
      <w:pPr>
        <w:ind w:left="360"/>
        <w:jc w:val="both"/>
        <w:rPr>
          <w:rFonts w:asciiTheme="majorHAnsi" w:eastAsia="Calibri" w:hAnsiTheme="majorHAnsi" w:cstheme="majorHAnsi"/>
          <w:sz w:val="24"/>
          <w:szCs w:val="24"/>
        </w:rPr>
      </w:pPr>
      <w:r w:rsidRPr="009A1EDC">
        <w:rPr>
          <w:rFonts w:asciiTheme="majorHAnsi" w:eastAsia="Calibri" w:hAnsiTheme="majorHAnsi" w:cstheme="majorHAnsi"/>
          <w:sz w:val="24"/>
          <w:szCs w:val="24"/>
        </w:rPr>
        <w:t>Concevoir et mettre en œuvre les démarches d’enseignement dans des situations d’apprentissage variées, en tenant compte des besoins des élèves</w:t>
      </w:r>
    </w:p>
    <w:p w14:paraId="0681B607" w14:textId="77777777" w:rsidR="00D14C6F" w:rsidRPr="009A1EDC" w:rsidRDefault="00D14C6F" w:rsidP="00D14C6F">
      <w:pPr>
        <w:ind w:left="360"/>
        <w:jc w:val="both"/>
        <w:rPr>
          <w:rFonts w:asciiTheme="majorHAnsi" w:eastAsia="Calibri" w:hAnsiTheme="majorHAnsi" w:cstheme="majorHAnsi"/>
          <w:sz w:val="24"/>
          <w:szCs w:val="24"/>
        </w:rPr>
      </w:pPr>
      <w:r w:rsidRPr="009A1EDC">
        <w:rPr>
          <w:rFonts w:asciiTheme="majorHAnsi" w:eastAsia="Calibri" w:hAnsiTheme="majorHAnsi" w:cstheme="majorHAnsi"/>
          <w:sz w:val="24"/>
          <w:szCs w:val="24"/>
        </w:rPr>
        <w:t>Planifier, organiser et structurer les apprentissages (séquence, séance, programmation, progression, évaluations) - spé 1er degré dans une logique de polyvalence.</w:t>
      </w:r>
    </w:p>
    <w:p w14:paraId="3930EDAE" w14:textId="77777777" w:rsidR="00D14C6F" w:rsidRPr="009A1EDC" w:rsidRDefault="00D14C6F" w:rsidP="00D14C6F">
      <w:pPr>
        <w:ind w:left="360"/>
        <w:jc w:val="both"/>
        <w:rPr>
          <w:rFonts w:asciiTheme="majorHAnsi" w:eastAsia="Calibri" w:hAnsiTheme="majorHAnsi" w:cstheme="majorHAnsi"/>
          <w:sz w:val="24"/>
          <w:szCs w:val="24"/>
        </w:rPr>
      </w:pPr>
      <w:r w:rsidRPr="009A1EDC">
        <w:rPr>
          <w:rFonts w:asciiTheme="majorHAnsi" w:eastAsia="Calibri" w:hAnsiTheme="majorHAnsi" w:cstheme="majorHAnsi"/>
          <w:sz w:val="24"/>
          <w:szCs w:val="24"/>
        </w:rPr>
        <w:t>Rendre explicites les objectifs d’une séance, les attendus des activités proposées et les apprentissages réalisés lors d’une séance ou d’une séquence.</w:t>
      </w:r>
    </w:p>
    <w:p w14:paraId="251AFC76" w14:textId="77777777" w:rsidR="00D14C6F" w:rsidRDefault="00D14C6F" w:rsidP="00D14C6F">
      <w:pPr>
        <w:ind w:left="360"/>
        <w:jc w:val="both"/>
        <w:rPr>
          <w:rFonts w:asciiTheme="majorHAnsi" w:eastAsia="Calibri" w:hAnsiTheme="majorHAnsi" w:cstheme="majorHAnsi"/>
          <w:sz w:val="24"/>
          <w:szCs w:val="24"/>
        </w:rPr>
      </w:pPr>
      <w:r w:rsidRPr="009A1EDC">
        <w:rPr>
          <w:rFonts w:asciiTheme="majorHAnsi" w:eastAsia="Calibri" w:hAnsiTheme="majorHAnsi" w:cstheme="majorHAnsi"/>
          <w:sz w:val="24"/>
          <w:szCs w:val="24"/>
        </w:rPr>
        <w:t>Mettre en œuvre des stratégies d’enseignement permettant la stabilisation des connaissances et des procédures.</w:t>
      </w:r>
    </w:p>
    <w:p w14:paraId="175402F3" w14:textId="77777777" w:rsidR="00D14C6F" w:rsidRDefault="00D14C6F" w:rsidP="00D14C6F">
      <w:pPr>
        <w:ind w:left="360"/>
        <w:jc w:val="both"/>
        <w:rPr>
          <w:rFonts w:asciiTheme="majorHAnsi" w:eastAsia="Calibri" w:hAnsiTheme="majorHAnsi" w:cstheme="majorHAnsi"/>
          <w:sz w:val="24"/>
          <w:szCs w:val="24"/>
        </w:rPr>
      </w:pPr>
    </w:p>
    <w:p w14:paraId="0D01F414" w14:textId="77777777" w:rsidR="00D14C6F" w:rsidRPr="00AB5E80" w:rsidRDefault="00D14C6F" w:rsidP="00D14C6F">
      <w:pPr>
        <w:pStyle w:val="Paragraphedeliste"/>
        <w:numPr>
          <w:ilvl w:val="0"/>
          <w:numId w:val="1"/>
        </w:numPr>
        <w:rPr>
          <w:b/>
          <w:bCs/>
          <w:sz w:val="24"/>
          <w:szCs w:val="24"/>
          <w:lang w:val="fr-FR"/>
        </w:rPr>
      </w:pPr>
      <w:proofErr w:type="gramStart"/>
      <w:r w:rsidRPr="00AB5E80">
        <w:rPr>
          <w:rFonts w:ascii="Calibri" w:hAnsi="Calibri" w:cs="Calibri"/>
          <w:b/>
          <w:bCs/>
          <w:color w:val="000000"/>
          <w:sz w:val="24"/>
          <w:szCs w:val="24"/>
          <w:lang w:val="fr-FR"/>
        </w:rPr>
        <w:t>composante</w:t>
      </w:r>
      <w:proofErr w:type="gramEnd"/>
      <w:r w:rsidRPr="00AB5E80">
        <w:rPr>
          <w:rFonts w:ascii="Calibri" w:hAnsi="Calibri" w:cs="Calibri"/>
          <w:b/>
          <w:bCs/>
          <w:color w:val="000000"/>
          <w:sz w:val="24"/>
          <w:szCs w:val="24"/>
          <w:lang w:val="fr-FR"/>
        </w:rPr>
        <w:t xml:space="preserve"> du Bloc EI 25H</w:t>
      </w:r>
    </w:p>
    <w:p w14:paraId="1EFD67E7" w14:textId="77777777" w:rsidR="00D14C6F" w:rsidRPr="00927075" w:rsidRDefault="00D14C6F" w:rsidP="00D14C6F">
      <w:pPr>
        <w:ind w:left="360"/>
        <w:rPr>
          <w:sz w:val="24"/>
          <w:szCs w:val="24"/>
          <w:lang w:val="fr-FR"/>
        </w:rPr>
      </w:pPr>
      <w:r w:rsidRPr="00927075">
        <w:rPr>
          <w:rFonts w:ascii="Calibri" w:hAnsi="Calibri" w:cs="Calibri"/>
          <w:color w:val="000000"/>
          <w:sz w:val="24"/>
          <w:szCs w:val="24"/>
          <w:lang w:val="fr-FR"/>
        </w:rPr>
        <w:t>CC3 Diversité des élèves </w:t>
      </w:r>
    </w:p>
    <w:p w14:paraId="7A87CB14" w14:textId="77777777" w:rsidR="00D14C6F" w:rsidRPr="00927075" w:rsidRDefault="00D14C6F" w:rsidP="00D14C6F">
      <w:pPr>
        <w:ind w:left="360"/>
        <w:rPr>
          <w:sz w:val="24"/>
          <w:szCs w:val="24"/>
          <w:lang w:val="fr-FR"/>
        </w:rPr>
      </w:pPr>
      <w:r w:rsidRPr="00927075">
        <w:rPr>
          <w:rFonts w:ascii="Calibri" w:hAnsi="Calibri" w:cs="Calibri"/>
          <w:color w:val="000000"/>
          <w:sz w:val="24"/>
          <w:szCs w:val="24"/>
          <w:lang w:val="fr-FR"/>
        </w:rPr>
        <w:t>En complément des enseignements de culture commune relatifs aux processus fondamentaux de l’apprentissage, appréhender les répercussions sur les apprentissages des différents troubles et difficultés</w:t>
      </w:r>
    </w:p>
    <w:p w14:paraId="4686A704" w14:textId="77777777" w:rsidR="00D14C6F" w:rsidRPr="00927075" w:rsidRDefault="00D14C6F" w:rsidP="00D14C6F">
      <w:pPr>
        <w:ind w:left="360"/>
        <w:rPr>
          <w:sz w:val="24"/>
          <w:szCs w:val="24"/>
          <w:lang w:val="fr-FR"/>
        </w:rPr>
      </w:pPr>
    </w:p>
    <w:p w14:paraId="36C21BE5" w14:textId="77777777" w:rsidR="00D14C6F" w:rsidRPr="00927075" w:rsidRDefault="00D14C6F" w:rsidP="00D14C6F">
      <w:pPr>
        <w:ind w:left="360"/>
        <w:rPr>
          <w:sz w:val="24"/>
          <w:szCs w:val="24"/>
          <w:lang w:val="fr-FR"/>
        </w:rPr>
      </w:pPr>
      <w:r w:rsidRPr="00927075">
        <w:rPr>
          <w:rFonts w:ascii="Calibri" w:hAnsi="Calibri" w:cs="Calibri"/>
          <w:color w:val="000000"/>
          <w:sz w:val="24"/>
          <w:szCs w:val="24"/>
          <w:lang w:val="fr-FR"/>
        </w:rPr>
        <w:t xml:space="preserve">P3 : Construire, mettre en œuvre et animer des situations d'enseignement et d'apprentissage prenant en compte la diversité des élèves - Analyser les tâches scolaires et les contenus </w:t>
      </w:r>
      <w:proofErr w:type="gramStart"/>
      <w:r w:rsidRPr="00927075">
        <w:rPr>
          <w:rFonts w:ascii="Calibri" w:hAnsi="Calibri" w:cs="Calibri"/>
          <w:color w:val="000000"/>
          <w:sz w:val="24"/>
          <w:szCs w:val="24"/>
          <w:lang w:val="fr-FR"/>
        </w:rPr>
        <w:t>d'enseignement  -</w:t>
      </w:r>
      <w:proofErr w:type="gramEnd"/>
      <w:r w:rsidRPr="00927075">
        <w:rPr>
          <w:rFonts w:ascii="Calibri" w:hAnsi="Calibri" w:cs="Calibri"/>
          <w:color w:val="000000"/>
          <w:sz w:val="24"/>
          <w:szCs w:val="24"/>
          <w:lang w:val="fr-FR"/>
        </w:rPr>
        <w:t xml:space="preserve"> Identifier les besoins des élèves pour construire les réponses didactiques et pédagogiques"</w:t>
      </w:r>
    </w:p>
    <w:p w14:paraId="4FB4F90E" w14:textId="77777777" w:rsidR="00D14C6F" w:rsidRDefault="00D14C6F" w:rsidP="00D14C6F">
      <w:pPr>
        <w:ind w:left="360"/>
        <w:jc w:val="both"/>
        <w:rPr>
          <w:rFonts w:asciiTheme="majorHAnsi" w:eastAsia="Calibri" w:hAnsiTheme="majorHAnsi" w:cstheme="majorHAnsi"/>
          <w:sz w:val="24"/>
          <w:szCs w:val="24"/>
        </w:rPr>
      </w:pPr>
    </w:p>
    <w:p w14:paraId="6CC37842" w14:textId="77777777" w:rsidR="00D14C6F" w:rsidRPr="009A1EDC" w:rsidRDefault="00D14C6F" w:rsidP="00D14C6F">
      <w:pPr>
        <w:ind w:left="360"/>
        <w:jc w:val="both"/>
        <w:rPr>
          <w:rFonts w:asciiTheme="majorHAnsi" w:eastAsia="Calibri" w:hAnsiTheme="majorHAnsi" w:cstheme="majorHAnsi"/>
          <w:sz w:val="24"/>
          <w:szCs w:val="24"/>
        </w:rPr>
      </w:pPr>
    </w:p>
    <w:p w14:paraId="21E96494" w14:textId="77777777" w:rsidR="00D14C6F" w:rsidRPr="00927075" w:rsidRDefault="00D14C6F" w:rsidP="00D14C6F">
      <w:pPr>
        <w:pStyle w:val="Paragraphedeliste"/>
        <w:numPr>
          <w:ilvl w:val="0"/>
          <w:numId w:val="1"/>
        </w:numPr>
        <w:rPr>
          <w:rFonts w:asciiTheme="majorHAnsi" w:eastAsia="Arial" w:hAnsiTheme="majorHAnsi" w:cstheme="majorHAnsi"/>
          <w:b/>
          <w:bCs/>
          <w:sz w:val="24"/>
          <w:szCs w:val="24"/>
        </w:rPr>
      </w:pPr>
      <w:r w:rsidRPr="007C292D">
        <w:rPr>
          <w:rFonts w:asciiTheme="majorHAnsi" w:hAnsiTheme="majorHAnsi" w:cstheme="majorHAnsi"/>
          <w:b/>
          <w:bCs/>
          <w:sz w:val="24"/>
          <w:szCs w:val="24"/>
        </w:rPr>
        <w:t>Description et contenus</w:t>
      </w:r>
    </w:p>
    <w:p w14:paraId="11C44B20" w14:textId="77777777" w:rsidR="00D14C6F" w:rsidRPr="00927075" w:rsidRDefault="00D14C6F" w:rsidP="00D14C6F">
      <w:pPr>
        <w:pStyle w:val="Paragraphedeliste"/>
        <w:rPr>
          <w:rFonts w:asciiTheme="majorHAnsi" w:eastAsia="Arial" w:hAnsiTheme="majorHAnsi" w:cstheme="majorHAnsi"/>
          <w:b/>
          <w:bCs/>
          <w:sz w:val="24"/>
          <w:szCs w:val="24"/>
        </w:rPr>
      </w:pPr>
    </w:p>
    <w:p w14:paraId="3282B76F" w14:textId="77777777" w:rsidR="00D14C6F" w:rsidRPr="00927075"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 xml:space="preserve">2h </w:t>
      </w:r>
      <w:r w:rsidRPr="00AA0FC0">
        <w:rPr>
          <w:rFonts w:asciiTheme="majorHAnsi" w:eastAsia="Arial" w:hAnsiTheme="majorHAnsi" w:cstheme="majorHAnsi"/>
          <w:sz w:val="24"/>
          <w:szCs w:val="24"/>
        </w:rPr>
        <w:t>CM (</w:t>
      </w:r>
      <w:proofErr w:type="spellStart"/>
      <w:r w:rsidRPr="00AA0FC0">
        <w:rPr>
          <w:rFonts w:asciiTheme="majorHAnsi" w:eastAsia="Arial" w:hAnsiTheme="majorHAnsi" w:cstheme="majorHAnsi"/>
          <w:sz w:val="24"/>
          <w:szCs w:val="24"/>
        </w:rPr>
        <w:t>dépÉI</w:t>
      </w:r>
      <w:proofErr w:type="spellEnd"/>
      <w:r w:rsidRPr="00AA0FC0">
        <w:rPr>
          <w:rFonts w:asciiTheme="majorHAnsi" w:eastAsia="Arial" w:hAnsiTheme="majorHAnsi" w:cstheme="majorHAnsi"/>
          <w:sz w:val="24"/>
          <w:szCs w:val="24"/>
        </w:rPr>
        <w:t>/paris cité)</w:t>
      </w:r>
      <w:r w:rsidRPr="00927075">
        <w:rPr>
          <w:rFonts w:asciiTheme="majorHAnsi" w:eastAsia="Arial" w:hAnsiTheme="majorHAnsi" w:cstheme="majorHAnsi"/>
          <w:sz w:val="24"/>
          <w:szCs w:val="24"/>
        </w:rPr>
        <w:t xml:space="preserve"> : Des besoins universels aux besoins particuliers</w:t>
      </w:r>
    </w:p>
    <w:p w14:paraId="5BC3E8A0" w14:textId="77777777" w:rsidR="00D14C6F" w:rsidRPr="00927075"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 xml:space="preserve">Les théories qui sous-tendent la notion de besoins des élèves, évolution historique, actualité de cette notion. </w:t>
      </w:r>
    </w:p>
    <w:p w14:paraId="05C03106" w14:textId="77777777" w:rsidR="00D14C6F" w:rsidRPr="00927075" w:rsidRDefault="00D14C6F" w:rsidP="00D14C6F">
      <w:pPr>
        <w:ind w:left="360"/>
        <w:jc w:val="both"/>
        <w:rPr>
          <w:rFonts w:asciiTheme="majorHAnsi" w:eastAsia="Arial" w:hAnsiTheme="majorHAnsi" w:cstheme="majorHAnsi"/>
          <w:sz w:val="24"/>
          <w:szCs w:val="24"/>
        </w:rPr>
      </w:pPr>
      <w:proofErr w:type="gramStart"/>
      <w:r w:rsidRPr="00927075">
        <w:rPr>
          <w:rFonts w:asciiTheme="majorHAnsi" w:eastAsia="Arial" w:hAnsiTheme="majorHAnsi" w:cstheme="majorHAnsi"/>
          <w:sz w:val="24"/>
          <w:szCs w:val="24"/>
        </w:rPr>
        <w:t>contenus:</w:t>
      </w:r>
      <w:proofErr w:type="gramEnd"/>
      <w:r w:rsidRPr="00927075">
        <w:rPr>
          <w:rFonts w:asciiTheme="majorHAnsi" w:eastAsia="Arial" w:hAnsiTheme="majorHAnsi" w:cstheme="majorHAnsi"/>
          <w:sz w:val="24"/>
          <w:szCs w:val="24"/>
        </w:rPr>
        <w:t xml:space="preserve"> </w:t>
      </w:r>
    </w:p>
    <w:p w14:paraId="39256010" w14:textId="77777777" w:rsidR="00D14C6F" w:rsidRPr="00927075"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Savoir comment les élèves apprennent et de quelle façon en tenir compte dans son enseignement</w:t>
      </w:r>
    </w:p>
    <w:p w14:paraId="69E31815" w14:textId="77777777" w:rsidR="00D14C6F" w:rsidRPr="00927075" w:rsidRDefault="00D14C6F" w:rsidP="00D14C6F">
      <w:pPr>
        <w:ind w:left="360"/>
        <w:jc w:val="both"/>
        <w:rPr>
          <w:rFonts w:asciiTheme="majorHAnsi" w:eastAsia="Arial" w:hAnsiTheme="majorHAnsi" w:cstheme="majorHAnsi"/>
          <w:sz w:val="24"/>
          <w:szCs w:val="24"/>
        </w:rPr>
      </w:pPr>
    </w:p>
    <w:p w14:paraId="481FC867" w14:textId="77777777" w:rsidR="00D14C6F" w:rsidRPr="00927075" w:rsidRDefault="00D14C6F" w:rsidP="00D14C6F">
      <w:pPr>
        <w:ind w:left="360"/>
        <w:jc w:val="both"/>
        <w:rPr>
          <w:rFonts w:asciiTheme="majorHAnsi" w:eastAsia="Arial" w:hAnsiTheme="majorHAnsi" w:cstheme="majorHAnsi"/>
          <w:sz w:val="24"/>
          <w:szCs w:val="24"/>
        </w:rPr>
      </w:pPr>
      <w:proofErr w:type="gramStart"/>
      <w:r w:rsidRPr="00927075">
        <w:rPr>
          <w:rFonts w:asciiTheme="majorHAnsi" w:eastAsia="Arial" w:hAnsiTheme="majorHAnsi" w:cstheme="majorHAnsi"/>
          <w:sz w:val="24"/>
          <w:szCs w:val="24"/>
        </w:rPr>
        <w:lastRenderedPageBreak/>
        <w:t>favoriser</w:t>
      </w:r>
      <w:proofErr w:type="gramEnd"/>
      <w:r w:rsidRPr="00927075">
        <w:rPr>
          <w:rFonts w:asciiTheme="majorHAnsi" w:eastAsia="Arial" w:hAnsiTheme="majorHAnsi" w:cstheme="majorHAnsi"/>
          <w:sz w:val="24"/>
          <w:szCs w:val="24"/>
        </w:rPr>
        <w:t xml:space="preserve"> la réussite de tous les élèves : prise en compte des besoins spécifiques des élèves en s'appuyant sur un collectif pluriprofessionnel et des partenaires ;+ Déceler les signes de décrochage scolaire afin de prévenir les situations qui font obstacle aux apprentissages.</w:t>
      </w:r>
    </w:p>
    <w:p w14:paraId="0657EB0B" w14:textId="77777777" w:rsidR="00D14C6F" w:rsidRPr="00927075" w:rsidRDefault="00D14C6F" w:rsidP="00D14C6F">
      <w:pPr>
        <w:ind w:left="360"/>
        <w:jc w:val="both"/>
        <w:rPr>
          <w:rFonts w:asciiTheme="majorHAnsi" w:eastAsia="Arial" w:hAnsiTheme="majorHAnsi" w:cstheme="majorHAnsi"/>
          <w:sz w:val="24"/>
          <w:szCs w:val="24"/>
        </w:rPr>
      </w:pPr>
    </w:p>
    <w:p w14:paraId="75E0AD61" w14:textId="77777777" w:rsidR="00D14C6F" w:rsidRPr="00927075"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Rendre explicites les objectifs d’une séance, les attendus des activités proposées et les apprentissages réalisés lors d’une séance ou d’une séquence.</w:t>
      </w:r>
    </w:p>
    <w:p w14:paraId="47685EC5" w14:textId="77777777" w:rsidR="00D14C6F" w:rsidRPr="00927075" w:rsidRDefault="00D14C6F" w:rsidP="00D14C6F">
      <w:pPr>
        <w:ind w:left="360"/>
        <w:jc w:val="both"/>
        <w:rPr>
          <w:rFonts w:asciiTheme="majorHAnsi" w:eastAsia="Arial" w:hAnsiTheme="majorHAnsi" w:cstheme="majorHAnsi"/>
          <w:sz w:val="24"/>
          <w:szCs w:val="24"/>
        </w:rPr>
      </w:pPr>
    </w:p>
    <w:p w14:paraId="0A088137" w14:textId="77777777" w:rsidR="00D14C6F" w:rsidRPr="00927075" w:rsidRDefault="00D14C6F" w:rsidP="00D14C6F">
      <w:pPr>
        <w:ind w:left="360"/>
        <w:jc w:val="both"/>
        <w:rPr>
          <w:rFonts w:asciiTheme="majorHAnsi" w:eastAsia="Arial" w:hAnsiTheme="majorHAnsi" w:cstheme="majorHAnsi"/>
          <w:sz w:val="24"/>
          <w:szCs w:val="24"/>
        </w:rPr>
      </w:pPr>
    </w:p>
    <w:p w14:paraId="0351BFB3" w14:textId="77777777" w:rsidR="00D14C6F" w:rsidRPr="00927075"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3h TD commun + 6h TD spécifique (référents ÉI) : Pratiques pédagogiques humanistes et inclusives – prendre en compte la diversité des élèves</w:t>
      </w:r>
    </w:p>
    <w:p w14:paraId="7233E9A6" w14:textId="77777777" w:rsidR="00D14C6F" w:rsidRPr="00927075"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 xml:space="preserve">a) 3h TD commun (référents par parcours) : atelier pratique professionnelles – différenciation, explicitation, gestion de la charge cognitive. </w:t>
      </w:r>
    </w:p>
    <w:p w14:paraId="4C978B47" w14:textId="77777777" w:rsidR="00D14C6F" w:rsidRPr="00927075"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Mobiliser diverses stratégies d’enseignement adaptées aux situations et aux objectifs d’apprentissage favorisant l’engagement et la réussite de tous les élèves ainsi que leur autonomie, parmi lesquelles l’articulation entre manipulation et abstraction, l’enseignement explicite, la démarche de recherche, la démarche par projet, etc.</w:t>
      </w:r>
    </w:p>
    <w:p w14:paraId="6CC70B04" w14:textId="77777777" w:rsidR="00D14C6F" w:rsidRPr="00927075"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 Rendre explicites les objectifs d’une séance, les attendus des activités proposées et les apprentissages réalisés lors d’une séance ou d’une séquence.</w:t>
      </w:r>
    </w:p>
    <w:p w14:paraId="2AFE8BB2" w14:textId="77777777" w:rsidR="00D14C6F" w:rsidRPr="00927075"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 xml:space="preserve">b) 3H TD spécifique parcours (référents par parcours) : atelier pratique professionnelles – différenciation, diversité des stratégies, coopération entre élèves. </w:t>
      </w:r>
    </w:p>
    <w:p w14:paraId="0241ED3B" w14:textId="77777777" w:rsidR="00D14C6F" w:rsidRPr="00927075"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 Apprendre aux élèves à utiliser des stratégies d'apprentissage.</w:t>
      </w:r>
    </w:p>
    <w:p w14:paraId="3636A170" w14:textId="77777777" w:rsidR="00D14C6F" w:rsidRPr="00927075"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 Mobiliser la métacognition et le contrôle exécutif au service des apprentissages et apprendre aux élèves à utiliser des stratégies : planifier, organiser, mémoriser, comprendre, s'auto-évaluer</w:t>
      </w:r>
    </w:p>
    <w:p w14:paraId="68DC1796" w14:textId="77777777" w:rsidR="00D14C6F" w:rsidRDefault="00D14C6F" w:rsidP="00D14C6F">
      <w:pPr>
        <w:ind w:left="360"/>
        <w:jc w:val="both"/>
        <w:rPr>
          <w:rFonts w:asciiTheme="majorHAnsi" w:eastAsia="Arial" w:hAnsiTheme="majorHAnsi" w:cstheme="majorHAnsi"/>
          <w:sz w:val="24"/>
          <w:szCs w:val="24"/>
        </w:rPr>
      </w:pPr>
      <w:r w:rsidRPr="00927075">
        <w:rPr>
          <w:rFonts w:asciiTheme="majorHAnsi" w:eastAsia="Arial" w:hAnsiTheme="majorHAnsi" w:cstheme="majorHAnsi"/>
          <w:sz w:val="24"/>
          <w:szCs w:val="24"/>
        </w:rPr>
        <w:t>C/ 3H TD spécifique parcours (référents par parcours) : besoins spécifiques liés aux disciplines enseignées (repérage dans l’espace, lecture, motricité fine, etc.)</w:t>
      </w:r>
    </w:p>
    <w:p w14:paraId="5E81B46D" w14:textId="77777777" w:rsidR="00D14C6F" w:rsidRDefault="00D14C6F" w:rsidP="00D14C6F">
      <w:pPr>
        <w:ind w:left="360"/>
        <w:jc w:val="both"/>
        <w:rPr>
          <w:rFonts w:asciiTheme="majorHAnsi" w:eastAsia="Arial" w:hAnsiTheme="majorHAnsi" w:cstheme="majorHAnsi"/>
          <w:sz w:val="24"/>
          <w:szCs w:val="24"/>
        </w:rPr>
      </w:pPr>
    </w:p>
    <w:p w14:paraId="30F398C2" w14:textId="77777777" w:rsidR="00D14C6F" w:rsidRDefault="00D14C6F" w:rsidP="00D14C6F">
      <w:pPr>
        <w:ind w:left="360"/>
        <w:jc w:val="both"/>
        <w:rPr>
          <w:rFonts w:asciiTheme="majorHAnsi" w:eastAsia="Arial" w:hAnsiTheme="majorHAnsi" w:cstheme="majorHAnsi"/>
          <w:sz w:val="24"/>
          <w:szCs w:val="24"/>
        </w:rPr>
      </w:pPr>
    </w:p>
    <w:p w14:paraId="1C25CE76" w14:textId="77777777" w:rsidR="00827385" w:rsidRDefault="00827385"/>
    <w:sectPr w:rsidR="008273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D6DA0"/>
    <w:multiLevelType w:val="hybridMultilevel"/>
    <w:tmpl w:val="D3002E12"/>
    <w:lvl w:ilvl="0" w:tplc="DA22E9A4">
      <w:numFmt w:val="bullet"/>
      <w:lvlText w:val=""/>
      <w:lvlJc w:val="left"/>
      <w:pPr>
        <w:ind w:left="720" w:hanging="360"/>
      </w:pPr>
      <w:rPr>
        <w:rFonts w:ascii="Wingdings" w:eastAsia="Calibri" w:hAnsi="Wingdings"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23116C2"/>
    <w:multiLevelType w:val="hybridMultilevel"/>
    <w:tmpl w:val="E17845A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BA5"/>
    <w:rsid w:val="006D2BA5"/>
    <w:rsid w:val="00827385"/>
    <w:rsid w:val="00D14C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81E5CF-D673-4A3A-9D48-12D37922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C6F"/>
    <w:pPr>
      <w:spacing w:after="0" w:line="240" w:lineRule="auto"/>
    </w:pPr>
    <w:rPr>
      <w:rFonts w:ascii="Times New Roman" w:eastAsia="Times New Roman" w:hAnsi="Times New Roman" w:cs="Times New Roman"/>
      <w:sz w:val="20"/>
      <w:szCs w:val="20"/>
      <w:lang w:val="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rsid w:val="00D14C6F"/>
    <w:pPr>
      <w:ind w:left="720"/>
      <w:jc w:val="both"/>
    </w:pPr>
    <w:rPr>
      <w:rFonts w:ascii="Century Gothic" w:eastAsia="Calibri" w:hAnsi="Century Gothic" w:cs="Century Gothic"/>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3017</Characters>
  <Application>Microsoft Office Word</Application>
  <DocSecurity>0</DocSecurity>
  <Lines>25</Lines>
  <Paragraphs>7</Paragraphs>
  <ScaleCrop>false</ScaleCrop>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2026-09-04T06:58:00Z</dcterms:created>
  <dcterms:modified xsi:type="dcterms:W3CDTF">2026-09-04T06:58:00Z</dcterms:modified>
</cp:coreProperties>
</file>