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B5EFB" w14:textId="77777777" w:rsidR="006D28AD" w:rsidRDefault="006D28AD" w:rsidP="006D28AD">
      <w:pPr>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Comprendre les obstacles aux situations d’enseignement-apprentissage</w:t>
      </w:r>
    </w:p>
    <w:p w14:paraId="4E2795FB" w14:textId="77777777" w:rsidR="006D28AD" w:rsidRDefault="006D28AD" w:rsidP="006D28AD">
      <w:pPr>
        <w:jc w:val="both"/>
        <w:rPr>
          <w:rFonts w:asciiTheme="majorHAnsi" w:eastAsia="Arial" w:hAnsiTheme="majorHAnsi" w:cstheme="majorHAnsi"/>
          <w:b/>
          <w:bCs/>
          <w:sz w:val="24"/>
          <w:szCs w:val="24"/>
        </w:rPr>
      </w:pPr>
    </w:p>
    <w:p w14:paraId="5FB18D02" w14:textId="77777777" w:rsidR="006D28AD" w:rsidRPr="009A1EDC" w:rsidRDefault="006D28AD" w:rsidP="006D28AD">
      <w:pPr>
        <w:pStyle w:val="Paragraphedeliste"/>
        <w:numPr>
          <w:ilvl w:val="0"/>
          <w:numId w:val="2"/>
        </w:numPr>
        <w:pBdr>
          <w:top w:val="nil"/>
          <w:left w:val="nil"/>
          <w:bottom w:val="nil"/>
          <w:right w:val="nil"/>
          <w:between w:val="nil"/>
        </w:pBdr>
        <w:spacing w:after="180"/>
        <w:jc w:val="right"/>
        <w:rPr>
          <w:rFonts w:asciiTheme="majorHAnsi" w:hAnsiTheme="majorHAnsi" w:cstheme="majorHAnsi"/>
          <w:b/>
          <w:bCs/>
          <w:color w:val="70AD47" w:themeColor="accent6"/>
          <w:sz w:val="24"/>
          <w:szCs w:val="24"/>
        </w:rPr>
      </w:pPr>
      <w:r>
        <w:rPr>
          <w:rFonts w:asciiTheme="majorHAnsi" w:hAnsiTheme="majorHAnsi" w:cstheme="majorHAnsi"/>
          <w:b/>
          <w:bCs/>
          <w:color w:val="70AD47" w:themeColor="accent6"/>
          <w:sz w:val="24"/>
          <w:szCs w:val="24"/>
        </w:rPr>
        <w:t>SPECIFIQUE 2nd DEGRE, Encadrement éducatif</w:t>
      </w:r>
    </w:p>
    <w:tbl>
      <w:tblPr>
        <w:tblW w:w="8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7"/>
        <w:gridCol w:w="7229"/>
      </w:tblGrid>
      <w:tr w:rsidR="006D28AD" w:rsidRPr="00E540F5" w14:paraId="2389D5EA" w14:textId="77777777" w:rsidTr="00416540">
        <w:trPr>
          <w:trHeight w:val="193"/>
        </w:trPr>
        <w:tc>
          <w:tcPr>
            <w:tcW w:w="1707" w:type="dxa"/>
            <w:shd w:val="clear" w:color="auto" w:fill="auto"/>
            <w:tcMar>
              <w:top w:w="100" w:type="dxa"/>
              <w:left w:w="100" w:type="dxa"/>
              <w:bottom w:w="100" w:type="dxa"/>
              <w:right w:w="100" w:type="dxa"/>
            </w:tcMar>
          </w:tcPr>
          <w:p w14:paraId="397B62DD" w14:textId="77777777" w:rsidR="006D28AD" w:rsidRPr="00E540F5" w:rsidRDefault="006D28AD"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volume</w:t>
            </w:r>
            <w:proofErr w:type="gramEnd"/>
            <w:r w:rsidRPr="00E540F5">
              <w:rPr>
                <w:rFonts w:ascii="Calibri" w:eastAsia="Calibri" w:hAnsi="Calibri" w:cs="Calibri"/>
                <w:color w:val="303030"/>
                <w:sz w:val="24"/>
                <w:szCs w:val="24"/>
              </w:rPr>
              <w:t xml:space="preserve"> horaire</w:t>
            </w:r>
          </w:p>
        </w:tc>
        <w:tc>
          <w:tcPr>
            <w:tcW w:w="7229" w:type="dxa"/>
            <w:shd w:val="clear" w:color="auto" w:fill="auto"/>
            <w:tcMar>
              <w:top w:w="100" w:type="dxa"/>
              <w:left w:w="100" w:type="dxa"/>
              <w:bottom w:w="100" w:type="dxa"/>
              <w:right w:w="100" w:type="dxa"/>
            </w:tcMar>
          </w:tcPr>
          <w:p w14:paraId="4D8C89A8" w14:textId="77777777" w:rsidR="006D28AD" w:rsidRPr="00E540F5" w:rsidRDefault="006D28AD" w:rsidP="00416540">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 xml:space="preserve">9 </w:t>
            </w:r>
            <w:r w:rsidRPr="00E540F5">
              <w:rPr>
                <w:rFonts w:ascii="Calibri" w:eastAsia="Calibri" w:hAnsi="Calibri" w:cs="Calibri"/>
                <w:b/>
                <w:bCs/>
                <w:color w:val="303030"/>
                <w:sz w:val="24"/>
                <w:szCs w:val="24"/>
              </w:rPr>
              <w:t>H</w:t>
            </w:r>
          </w:p>
        </w:tc>
      </w:tr>
      <w:tr w:rsidR="006D28AD" w:rsidRPr="00E540F5" w14:paraId="65E36A33" w14:textId="77777777" w:rsidTr="00416540">
        <w:trPr>
          <w:trHeight w:val="193"/>
        </w:trPr>
        <w:tc>
          <w:tcPr>
            <w:tcW w:w="1707" w:type="dxa"/>
            <w:shd w:val="clear" w:color="auto" w:fill="auto"/>
            <w:tcMar>
              <w:top w:w="100" w:type="dxa"/>
              <w:left w:w="100" w:type="dxa"/>
              <w:bottom w:w="100" w:type="dxa"/>
              <w:right w:w="100" w:type="dxa"/>
            </w:tcMar>
          </w:tcPr>
          <w:p w14:paraId="79E02A5A" w14:textId="77777777" w:rsidR="006D28AD" w:rsidRPr="00E540F5" w:rsidRDefault="006D28AD"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C5AF50" w14:textId="77777777" w:rsidR="006D28AD" w:rsidRPr="0003439A" w:rsidRDefault="006D28AD" w:rsidP="00416540">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3H CM et 3x2H TD</w:t>
            </w:r>
          </w:p>
        </w:tc>
      </w:tr>
      <w:tr w:rsidR="006D28AD" w:rsidRPr="00E540F5" w14:paraId="28F105ED" w14:textId="77777777" w:rsidTr="00416540">
        <w:trPr>
          <w:trHeight w:val="405"/>
        </w:trPr>
        <w:tc>
          <w:tcPr>
            <w:tcW w:w="1707" w:type="dxa"/>
            <w:shd w:val="clear" w:color="auto" w:fill="auto"/>
            <w:tcMar>
              <w:top w:w="100" w:type="dxa"/>
              <w:left w:w="100" w:type="dxa"/>
              <w:bottom w:w="100" w:type="dxa"/>
              <w:right w:w="100" w:type="dxa"/>
            </w:tcMar>
          </w:tcPr>
          <w:p w14:paraId="606E1412" w14:textId="77777777" w:rsidR="006D28AD" w:rsidRPr="00E540F5" w:rsidRDefault="006D28AD"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04E5CE" w14:textId="77777777" w:rsidR="006D28AD" w:rsidRPr="0003439A" w:rsidRDefault="006D28AD" w:rsidP="00416540">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5h</w:t>
            </w:r>
            <w:r w:rsidRPr="009A1EDC">
              <w:rPr>
                <w:rFonts w:ascii="Calibri" w:eastAsia="Calibri" w:hAnsi="Calibri" w:cs="Calibri"/>
                <w:color w:val="303030"/>
                <w:sz w:val="24"/>
                <w:szCs w:val="24"/>
              </w:rPr>
              <w:t xml:space="preserve"> formateurs </w:t>
            </w:r>
            <w:proofErr w:type="spellStart"/>
            <w:r w:rsidRPr="009A1EDC">
              <w:rPr>
                <w:rFonts w:ascii="Calibri" w:eastAsia="Calibri" w:hAnsi="Calibri" w:cs="Calibri"/>
                <w:color w:val="303030"/>
                <w:sz w:val="24"/>
                <w:szCs w:val="24"/>
              </w:rPr>
              <w:t>Inspé</w:t>
            </w:r>
            <w:proofErr w:type="spellEnd"/>
            <w:r w:rsidRPr="009A1EDC">
              <w:rPr>
                <w:rFonts w:ascii="Calibri" w:eastAsia="Calibri" w:hAnsi="Calibri" w:cs="Calibri"/>
                <w:color w:val="303030"/>
                <w:sz w:val="24"/>
                <w:szCs w:val="24"/>
              </w:rPr>
              <w:t xml:space="preserve"> et </w:t>
            </w:r>
            <w:r>
              <w:rPr>
                <w:rFonts w:ascii="Calibri" w:eastAsia="Calibri" w:hAnsi="Calibri" w:cs="Calibri"/>
                <w:color w:val="303030"/>
                <w:sz w:val="24"/>
                <w:szCs w:val="24"/>
              </w:rPr>
              <w:t>4</w:t>
            </w:r>
            <w:r w:rsidRPr="009A1EDC">
              <w:rPr>
                <w:rFonts w:ascii="Calibri" w:eastAsia="Calibri" w:hAnsi="Calibri" w:cs="Calibri"/>
                <w:color w:val="303030"/>
                <w:sz w:val="24"/>
                <w:szCs w:val="24"/>
              </w:rPr>
              <w:t>H professionnels Terrain</w:t>
            </w:r>
          </w:p>
        </w:tc>
      </w:tr>
    </w:tbl>
    <w:p w14:paraId="417D12C4" w14:textId="77777777" w:rsidR="006D28AD" w:rsidRPr="0003439A" w:rsidRDefault="006D28AD" w:rsidP="006D28AD">
      <w:pPr>
        <w:ind w:left="360"/>
        <w:jc w:val="both"/>
        <w:rPr>
          <w:rFonts w:asciiTheme="majorHAnsi" w:eastAsia="Arial" w:hAnsiTheme="majorHAnsi" w:cstheme="majorHAnsi"/>
          <w:sz w:val="24"/>
          <w:szCs w:val="24"/>
        </w:rPr>
      </w:pPr>
    </w:p>
    <w:p w14:paraId="7645AF7C" w14:textId="77777777" w:rsidR="006D28AD" w:rsidRPr="00274107" w:rsidRDefault="006D28AD" w:rsidP="006D28AD">
      <w:pPr>
        <w:pStyle w:val="Paragraphedeliste"/>
        <w:numPr>
          <w:ilvl w:val="0"/>
          <w:numId w:val="1"/>
        </w:numPr>
        <w:rPr>
          <w:rFonts w:asciiTheme="majorHAnsi" w:hAnsiTheme="majorHAnsi" w:cstheme="majorHAnsi"/>
          <w:b/>
          <w:bCs/>
          <w:sz w:val="24"/>
          <w:szCs w:val="24"/>
        </w:rPr>
      </w:pPr>
      <w:r w:rsidRPr="007C292D">
        <w:rPr>
          <w:rFonts w:asciiTheme="majorHAnsi" w:hAnsiTheme="majorHAnsi" w:cstheme="majorHAnsi"/>
          <w:b/>
          <w:bCs/>
          <w:sz w:val="24"/>
          <w:szCs w:val="24"/>
        </w:rPr>
        <w:t xml:space="preserve">Domaine de compétences professionnelles visé </w:t>
      </w:r>
    </w:p>
    <w:p w14:paraId="6A6A106B" w14:textId="77777777" w:rsidR="006D28AD" w:rsidRDefault="006D28AD" w:rsidP="006D28AD">
      <w:pPr>
        <w:ind w:left="360"/>
        <w:jc w:val="both"/>
        <w:rPr>
          <w:rFonts w:asciiTheme="majorHAnsi" w:eastAsia="Calibri" w:hAnsiTheme="majorHAnsi" w:cstheme="majorHAnsi"/>
          <w:i/>
          <w:iCs/>
          <w:sz w:val="24"/>
          <w:szCs w:val="24"/>
        </w:rPr>
      </w:pPr>
      <w:r w:rsidRPr="00340DEC">
        <w:rPr>
          <w:rFonts w:asciiTheme="majorHAnsi" w:eastAsia="Calibri" w:hAnsiTheme="majorHAnsi" w:cstheme="majorHAnsi"/>
          <w:i/>
          <w:iCs/>
          <w:sz w:val="24"/>
          <w:szCs w:val="24"/>
        </w:rPr>
        <w:t xml:space="preserve">(Conformément au référentiel de formation professorat </w:t>
      </w:r>
      <w:r>
        <w:rPr>
          <w:rFonts w:asciiTheme="majorHAnsi" w:eastAsia="Calibri" w:hAnsiTheme="majorHAnsi" w:cstheme="majorHAnsi"/>
          <w:i/>
          <w:iCs/>
          <w:sz w:val="24"/>
          <w:szCs w:val="24"/>
        </w:rPr>
        <w:t>2</w:t>
      </w:r>
      <w:r w:rsidRPr="00AB5E80">
        <w:rPr>
          <w:rFonts w:asciiTheme="majorHAnsi" w:eastAsia="Calibri" w:hAnsiTheme="majorHAnsi" w:cstheme="majorHAnsi"/>
          <w:i/>
          <w:iCs/>
          <w:sz w:val="24"/>
          <w:szCs w:val="24"/>
          <w:vertAlign w:val="superscript"/>
        </w:rPr>
        <w:t>nd</w:t>
      </w:r>
      <w:r>
        <w:rPr>
          <w:rFonts w:asciiTheme="majorHAnsi" w:eastAsia="Calibri" w:hAnsiTheme="majorHAnsi" w:cstheme="majorHAnsi"/>
          <w:i/>
          <w:iCs/>
          <w:sz w:val="24"/>
          <w:szCs w:val="24"/>
        </w:rPr>
        <w:t xml:space="preserve"> degré, EE</w:t>
      </w:r>
      <w:r w:rsidRPr="00340DEC">
        <w:rPr>
          <w:rFonts w:asciiTheme="majorHAnsi" w:eastAsia="Calibri" w:hAnsiTheme="majorHAnsi" w:cstheme="majorHAnsi"/>
          <w:i/>
          <w:iCs/>
          <w:sz w:val="24"/>
          <w:szCs w:val="24"/>
        </w:rPr>
        <w:t>)</w:t>
      </w:r>
    </w:p>
    <w:p w14:paraId="0204DA20" w14:textId="77777777" w:rsidR="006D28AD" w:rsidRPr="009A1EDC" w:rsidRDefault="006D28AD" w:rsidP="006D28AD">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Concevoir et mettre en œuvre les démarches d’enseignement dans des situations d’apprentissage variées, en tenant compte des besoins des élèves</w:t>
      </w:r>
    </w:p>
    <w:p w14:paraId="0F30BDC4" w14:textId="77777777" w:rsidR="006D28AD" w:rsidRPr="009A1EDC" w:rsidRDefault="006D28AD" w:rsidP="006D28AD">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Planifier, organiser et structurer les apprentissages (séquence, séance, programmation, progression, évaluations) - spé 1er degré dans une logique de polyvalence.</w:t>
      </w:r>
    </w:p>
    <w:p w14:paraId="5BECCE43" w14:textId="77777777" w:rsidR="006D28AD" w:rsidRPr="009A1EDC" w:rsidRDefault="006D28AD" w:rsidP="006D28AD">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Rendre explicites les objectifs d’une séance, les attendus des activités proposées et les apprentissages réalisés lors d’une séance ou d’une séquence.</w:t>
      </w:r>
    </w:p>
    <w:p w14:paraId="26B1CAD1" w14:textId="77777777" w:rsidR="006D28AD" w:rsidRDefault="006D28AD" w:rsidP="006D28AD">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Mettre en œuvre des stratégies d’enseignement permettant la stabilisation des connaissances et des procédures.</w:t>
      </w:r>
    </w:p>
    <w:p w14:paraId="0DBE6BAD" w14:textId="77777777" w:rsidR="006D28AD" w:rsidRPr="009A1EDC" w:rsidRDefault="006D28AD" w:rsidP="006D28AD">
      <w:pPr>
        <w:ind w:left="360"/>
        <w:jc w:val="both"/>
        <w:rPr>
          <w:rFonts w:asciiTheme="majorHAnsi" w:eastAsia="Calibri" w:hAnsiTheme="majorHAnsi" w:cstheme="majorHAnsi"/>
          <w:sz w:val="24"/>
          <w:szCs w:val="24"/>
        </w:rPr>
      </w:pPr>
    </w:p>
    <w:p w14:paraId="5D3584B7" w14:textId="77777777" w:rsidR="006D28AD" w:rsidRPr="00274107" w:rsidRDefault="006D28AD" w:rsidP="006D28AD">
      <w:pPr>
        <w:pStyle w:val="Paragraphedeliste"/>
        <w:numPr>
          <w:ilvl w:val="0"/>
          <w:numId w:val="1"/>
        </w:numPr>
        <w:rPr>
          <w:rFonts w:asciiTheme="majorHAnsi" w:eastAsia="Arial" w:hAnsiTheme="majorHAnsi" w:cstheme="majorHAnsi"/>
          <w:b/>
          <w:bCs/>
          <w:sz w:val="24"/>
          <w:szCs w:val="24"/>
        </w:rPr>
      </w:pPr>
      <w:r w:rsidRPr="007C292D">
        <w:rPr>
          <w:rFonts w:asciiTheme="majorHAnsi" w:hAnsiTheme="majorHAnsi" w:cstheme="majorHAnsi"/>
          <w:b/>
          <w:bCs/>
          <w:sz w:val="24"/>
          <w:szCs w:val="24"/>
        </w:rPr>
        <w:t>Description et contenus</w:t>
      </w:r>
    </w:p>
    <w:p w14:paraId="69315B83" w14:textId="77777777" w:rsidR="006D28AD" w:rsidRPr="00C30CE2" w:rsidRDefault="006D28AD" w:rsidP="006D28AD">
      <w:pPr>
        <w:pStyle w:val="Paragraphedeliste"/>
        <w:rPr>
          <w:rFonts w:asciiTheme="majorHAnsi" w:eastAsia="Arial" w:hAnsiTheme="majorHAnsi" w:cstheme="majorHAnsi"/>
          <w:b/>
          <w:bCs/>
          <w:sz w:val="24"/>
          <w:szCs w:val="24"/>
        </w:rPr>
      </w:pPr>
    </w:p>
    <w:p w14:paraId="2590942C" w14:textId="77777777" w:rsidR="006D28AD" w:rsidRPr="00274107" w:rsidRDefault="006D28AD" w:rsidP="006D28AD">
      <w:pPr>
        <w:ind w:left="360"/>
        <w:jc w:val="both"/>
        <w:rPr>
          <w:rFonts w:asciiTheme="majorHAnsi" w:eastAsia="Arial" w:hAnsiTheme="majorHAnsi" w:cstheme="majorHAnsi"/>
          <w:sz w:val="24"/>
          <w:szCs w:val="24"/>
        </w:rPr>
      </w:pPr>
      <w:r w:rsidRPr="00274107">
        <w:rPr>
          <w:rFonts w:asciiTheme="majorHAnsi" w:eastAsia="Arial" w:hAnsiTheme="majorHAnsi" w:cstheme="majorHAnsi"/>
          <w:sz w:val="24"/>
          <w:szCs w:val="24"/>
        </w:rPr>
        <w:t>Cet enseignement propose aux futurs professeurs des premier et second degrés</w:t>
      </w:r>
      <w:r>
        <w:rPr>
          <w:rFonts w:asciiTheme="majorHAnsi" w:eastAsia="Arial" w:hAnsiTheme="majorHAnsi" w:cstheme="majorHAnsi"/>
          <w:sz w:val="24"/>
          <w:szCs w:val="24"/>
        </w:rPr>
        <w:t>, Encadrement Educatif</w:t>
      </w:r>
      <w:r w:rsidRPr="00274107">
        <w:rPr>
          <w:rFonts w:asciiTheme="majorHAnsi" w:eastAsia="Arial" w:hAnsiTheme="majorHAnsi" w:cstheme="majorHAnsi"/>
          <w:sz w:val="24"/>
          <w:szCs w:val="24"/>
        </w:rPr>
        <w:t xml:space="preserve"> d'analyser et de décrypter des situations d'enseignement-apprentissage. Ce module vise à articuler les cadres théoriques (implicites, malentendus sociocognitifs) avec les pratiques professionnelles et la diversité des publics scolaires.</w:t>
      </w:r>
    </w:p>
    <w:p w14:paraId="36911ED2" w14:textId="77777777" w:rsidR="006D28AD" w:rsidRPr="00274107" w:rsidRDefault="006D28AD" w:rsidP="006D28AD">
      <w:pPr>
        <w:ind w:left="360"/>
        <w:jc w:val="both"/>
        <w:rPr>
          <w:rFonts w:asciiTheme="majorHAnsi" w:eastAsia="Arial" w:hAnsiTheme="majorHAnsi" w:cstheme="majorHAnsi"/>
          <w:sz w:val="24"/>
          <w:szCs w:val="24"/>
        </w:rPr>
      </w:pPr>
      <w:r w:rsidRPr="00274107">
        <w:rPr>
          <w:rFonts w:asciiTheme="majorHAnsi" w:eastAsia="Arial" w:hAnsiTheme="majorHAnsi" w:cstheme="majorHAnsi"/>
          <w:sz w:val="24"/>
          <w:szCs w:val="24"/>
        </w:rPr>
        <w:t>À partir de supports diversifiés (vidéos de classe, verbatims, supports didactiques) choisis selon leurs mentions (1er, 2nd degré), les étudiants seront conduits à identifier les leviers et les freins possibles aux apprentissages des élèves.</w:t>
      </w:r>
    </w:p>
    <w:p w14:paraId="78583906" w14:textId="77777777" w:rsidR="006D28AD" w:rsidRPr="00274107" w:rsidRDefault="006D28AD" w:rsidP="006D28AD">
      <w:pPr>
        <w:ind w:left="360"/>
        <w:jc w:val="both"/>
        <w:rPr>
          <w:rFonts w:asciiTheme="majorHAnsi" w:eastAsia="Arial" w:hAnsiTheme="majorHAnsi" w:cstheme="majorHAnsi"/>
          <w:sz w:val="24"/>
          <w:szCs w:val="24"/>
        </w:rPr>
      </w:pPr>
      <w:r w:rsidRPr="00274107">
        <w:rPr>
          <w:rFonts w:asciiTheme="majorHAnsi" w:eastAsia="Arial" w:hAnsiTheme="majorHAnsi" w:cstheme="majorHAnsi"/>
          <w:sz w:val="24"/>
          <w:szCs w:val="24"/>
        </w:rPr>
        <w:t>2H TD : La conduite de l’activité : Analyser des extraits vidéo et des verbatims pour repérer les processus de dilution des savoirs. Comment l'enjeu disciplinaire d’enseignement est-il effacé parfois derrière la gestion de la tâche ?</w:t>
      </w:r>
    </w:p>
    <w:p w14:paraId="6B909A1B" w14:textId="77777777" w:rsidR="006D28AD" w:rsidRPr="00274107" w:rsidRDefault="006D28AD" w:rsidP="006D28AD">
      <w:pPr>
        <w:ind w:left="360"/>
        <w:jc w:val="both"/>
        <w:rPr>
          <w:rFonts w:asciiTheme="majorHAnsi" w:eastAsia="Arial" w:hAnsiTheme="majorHAnsi" w:cstheme="majorHAnsi"/>
          <w:sz w:val="24"/>
          <w:szCs w:val="24"/>
        </w:rPr>
      </w:pPr>
      <w:r w:rsidRPr="00274107">
        <w:rPr>
          <w:rFonts w:asciiTheme="majorHAnsi" w:eastAsia="Arial" w:hAnsiTheme="majorHAnsi" w:cstheme="majorHAnsi"/>
          <w:sz w:val="24"/>
          <w:szCs w:val="24"/>
        </w:rPr>
        <w:t>2H TD : Supports pédagogiques, didactiques et inégalités scolaires : Étudier les supports d'enseignement-apprentissage pour identifier la part d'implicite scolaire. Comprendre comment les liens sémiotiques dans les supports scolaires (manuels) et les questions posées aux élèves risquent de détourner certains d’entre eux des apprentissages scolaires.</w:t>
      </w:r>
    </w:p>
    <w:p w14:paraId="2574F2A0" w14:textId="77777777" w:rsidR="006D28AD" w:rsidRPr="00274107" w:rsidRDefault="006D28AD" w:rsidP="006D28AD">
      <w:pPr>
        <w:ind w:left="360"/>
        <w:jc w:val="both"/>
        <w:rPr>
          <w:rFonts w:asciiTheme="majorHAnsi" w:eastAsia="Arial" w:hAnsiTheme="majorHAnsi" w:cstheme="majorHAnsi"/>
          <w:sz w:val="24"/>
          <w:szCs w:val="24"/>
        </w:rPr>
      </w:pPr>
      <w:r w:rsidRPr="00274107">
        <w:rPr>
          <w:rFonts w:asciiTheme="majorHAnsi" w:eastAsia="Arial" w:hAnsiTheme="majorHAnsi" w:cstheme="majorHAnsi"/>
          <w:sz w:val="24"/>
          <w:szCs w:val="24"/>
        </w:rPr>
        <w:t>2H TD : Questionner l'habillage pédagogique des situations d’enseignement et analyser les conditions du passage de la manipulation matérielle à la conceptualisation (abstraction).</w:t>
      </w:r>
    </w:p>
    <w:p w14:paraId="128C9E7F" w14:textId="77777777" w:rsidR="006D28AD" w:rsidRDefault="006D28AD" w:rsidP="006D28AD">
      <w:pPr>
        <w:ind w:left="360"/>
        <w:jc w:val="both"/>
        <w:rPr>
          <w:rFonts w:asciiTheme="majorHAnsi" w:eastAsia="Arial" w:hAnsiTheme="majorHAnsi" w:cstheme="majorHAnsi"/>
          <w:i/>
          <w:iCs/>
        </w:rPr>
      </w:pPr>
      <w:r w:rsidRPr="001F078E">
        <w:rPr>
          <w:rFonts w:asciiTheme="majorHAnsi" w:eastAsia="Arial" w:hAnsiTheme="majorHAnsi" w:cstheme="majorHAnsi"/>
          <w:i/>
          <w:iCs/>
        </w:rPr>
        <w:t>ROCHEX Jean-Yves ; CRINON Jacques (</w:t>
      </w:r>
      <w:proofErr w:type="spellStart"/>
      <w:r w:rsidRPr="001F078E">
        <w:rPr>
          <w:rFonts w:asciiTheme="majorHAnsi" w:eastAsia="Arial" w:hAnsiTheme="majorHAnsi" w:cstheme="majorHAnsi"/>
          <w:i/>
          <w:iCs/>
        </w:rPr>
        <w:t>dir</w:t>
      </w:r>
      <w:proofErr w:type="spellEnd"/>
      <w:r w:rsidRPr="001F078E">
        <w:rPr>
          <w:rFonts w:asciiTheme="majorHAnsi" w:eastAsia="Arial" w:hAnsiTheme="majorHAnsi" w:cstheme="majorHAnsi"/>
          <w:i/>
          <w:iCs/>
        </w:rPr>
        <w:t>.). La construction des inégalités scolaires. Au cœur des pratiques et des dispositifs d’enseignement ; Presses universitaires de Rennes, 2011.</w:t>
      </w:r>
    </w:p>
    <w:p w14:paraId="37A934B8" w14:textId="77777777" w:rsidR="006D28AD" w:rsidRPr="001F078E" w:rsidRDefault="006D28AD" w:rsidP="006D28AD">
      <w:pPr>
        <w:ind w:left="360"/>
        <w:jc w:val="both"/>
        <w:rPr>
          <w:rFonts w:asciiTheme="majorHAnsi" w:eastAsia="Arial" w:hAnsiTheme="majorHAnsi" w:cstheme="majorHAnsi"/>
          <w:i/>
          <w:iCs/>
        </w:rPr>
      </w:pPr>
    </w:p>
    <w:p w14:paraId="715854BA" w14:textId="77777777" w:rsidR="006D28AD" w:rsidRDefault="006D28AD" w:rsidP="006D28AD">
      <w:pPr>
        <w:ind w:left="360"/>
        <w:jc w:val="both"/>
        <w:rPr>
          <w:rFonts w:asciiTheme="majorHAnsi" w:eastAsia="Arial" w:hAnsiTheme="majorHAnsi" w:cstheme="majorHAnsi"/>
          <w:sz w:val="24"/>
          <w:szCs w:val="24"/>
        </w:rPr>
      </w:pPr>
      <w:r w:rsidRPr="00274107">
        <w:rPr>
          <w:rFonts w:asciiTheme="majorHAnsi" w:eastAsia="Arial" w:hAnsiTheme="majorHAnsi" w:cstheme="majorHAnsi"/>
          <w:sz w:val="24"/>
          <w:szCs w:val="24"/>
        </w:rPr>
        <w:t>Evaluation : analyse de situations d’enseignement-apprentissage</w:t>
      </w:r>
    </w:p>
    <w:p w14:paraId="23D9A95C" w14:textId="77777777" w:rsidR="00827385" w:rsidRDefault="00827385"/>
    <w:sectPr w:rsidR="00827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E17845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289"/>
    <w:rsid w:val="00425289"/>
    <w:rsid w:val="006D28AD"/>
    <w:rsid w:val="00827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FF61D-4D87-4265-A2AE-A68505AE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AD"/>
    <w:pPr>
      <w:spacing w:after="0" w:line="240" w:lineRule="auto"/>
    </w:pPr>
    <w:rPr>
      <w:rFonts w:ascii="Times New Roman" w:eastAsia="Times New Roman" w:hAnsi="Times New Roman" w:cs="Times New Roman"/>
      <w:sz w:val="20"/>
      <w:szCs w:val="20"/>
      <w:lang w:val="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rsid w:val="006D28AD"/>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2138</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2026-09-04T06:57:00Z</dcterms:created>
  <dcterms:modified xsi:type="dcterms:W3CDTF">2026-09-04T06:57:00Z</dcterms:modified>
</cp:coreProperties>
</file>