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F710A" w14:textId="77777777" w:rsidR="00BC1DC9" w:rsidRDefault="00BC1DC9" w:rsidP="00BC1DC9">
      <w:pPr>
        <w:spacing w:after="180"/>
        <w:jc w:val="both"/>
        <w:rPr>
          <w:rFonts w:asciiTheme="majorHAnsi" w:eastAsia="Calibri" w:hAnsiTheme="majorHAnsi" w:cstheme="majorHAnsi"/>
          <w:b/>
          <w:bCs/>
          <w:sz w:val="24"/>
          <w:szCs w:val="24"/>
        </w:rPr>
      </w:pPr>
      <w:r>
        <w:rPr>
          <w:rFonts w:asciiTheme="majorHAnsi" w:eastAsia="Calibri" w:hAnsiTheme="majorHAnsi" w:cstheme="majorHAnsi"/>
          <w:b/>
          <w:bCs/>
          <w:sz w:val="24"/>
          <w:szCs w:val="24"/>
        </w:rPr>
        <w:t>Psychologie : Principaux repères sur le développement de l’adolescent</w:t>
      </w:r>
    </w:p>
    <w:p w14:paraId="3D506067" w14:textId="77777777" w:rsidR="00BC1DC9" w:rsidRDefault="00BC1DC9" w:rsidP="00BC1DC9">
      <w:pPr>
        <w:pStyle w:val="Paragraphedeliste"/>
        <w:numPr>
          <w:ilvl w:val="0"/>
          <w:numId w:val="1"/>
        </w:numPr>
        <w:spacing w:after="180"/>
        <w:jc w:val="right"/>
        <w:rPr>
          <w:rFonts w:asciiTheme="majorHAnsi" w:hAnsiTheme="majorHAnsi" w:cstheme="majorHAnsi"/>
          <w:b/>
          <w:bCs/>
          <w:color w:val="0070C0"/>
          <w:sz w:val="24"/>
          <w:szCs w:val="24"/>
        </w:rPr>
      </w:pPr>
      <w:r>
        <w:rPr>
          <w:rFonts w:asciiTheme="majorHAnsi" w:hAnsiTheme="majorHAnsi" w:cstheme="majorHAnsi"/>
          <w:b/>
          <w:bCs/>
          <w:color w:val="0070C0"/>
          <w:sz w:val="24"/>
          <w:szCs w:val="24"/>
        </w:rPr>
        <w:t>COMMUN DEDIE 2</w:t>
      </w:r>
      <w:r>
        <w:rPr>
          <w:rFonts w:asciiTheme="majorHAnsi" w:hAnsiTheme="majorHAnsi" w:cstheme="majorHAnsi"/>
          <w:b/>
          <w:bCs/>
          <w:color w:val="0070C0"/>
          <w:sz w:val="24"/>
          <w:szCs w:val="24"/>
          <w:vertAlign w:val="superscript"/>
        </w:rPr>
        <w:t>nd</w:t>
      </w:r>
      <w:r>
        <w:rPr>
          <w:rFonts w:asciiTheme="majorHAnsi" w:hAnsiTheme="majorHAnsi" w:cstheme="majorHAnsi"/>
          <w:b/>
          <w:bCs/>
          <w:color w:val="0070C0"/>
          <w:sz w:val="24"/>
          <w:szCs w:val="24"/>
        </w:rPr>
        <w:t xml:space="preserve"> degré, EE</w:t>
      </w:r>
    </w:p>
    <w:tbl>
      <w:tblPr>
        <w:tblW w:w="8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8"/>
        <w:gridCol w:w="7232"/>
      </w:tblGrid>
      <w:tr w:rsidR="00BC1DC9" w14:paraId="6F636389" w14:textId="77777777" w:rsidTr="00BC1DC9">
        <w:trPr>
          <w:trHeight w:val="193"/>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8F2C1B" w14:textId="77777777" w:rsidR="00BC1DC9" w:rsidRDefault="00BC1DC9">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volume</w:t>
            </w:r>
            <w:proofErr w:type="gramEnd"/>
            <w:r>
              <w:rPr>
                <w:rFonts w:ascii="Calibri" w:eastAsia="Calibri" w:hAnsi="Calibri" w:cs="Calibri"/>
                <w:color w:val="303030"/>
                <w:sz w:val="24"/>
                <w:szCs w:val="24"/>
              </w:rPr>
              <w:t xml:space="preserve"> horaire</w:t>
            </w:r>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9BD5BC" w14:textId="77777777" w:rsidR="00BC1DC9" w:rsidRDefault="00BC1DC9">
            <w:pPr>
              <w:widowControl w:val="0"/>
              <w:jc w:val="both"/>
              <w:rPr>
                <w:rFonts w:ascii="Calibri" w:eastAsia="Calibri" w:hAnsi="Calibri" w:cs="Calibri"/>
                <w:b/>
                <w:bCs/>
                <w:color w:val="303030"/>
                <w:sz w:val="24"/>
                <w:szCs w:val="24"/>
              </w:rPr>
            </w:pPr>
            <w:r>
              <w:rPr>
                <w:rFonts w:ascii="Calibri" w:eastAsia="Calibri" w:hAnsi="Calibri" w:cs="Calibri"/>
                <w:b/>
                <w:bCs/>
                <w:color w:val="303030"/>
                <w:sz w:val="24"/>
                <w:szCs w:val="24"/>
              </w:rPr>
              <w:t>8 H</w:t>
            </w:r>
          </w:p>
        </w:tc>
      </w:tr>
      <w:tr w:rsidR="00BC1DC9" w14:paraId="33414D4B" w14:textId="77777777" w:rsidTr="00BC1DC9">
        <w:trPr>
          <w:trHeight w:val="193"/>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EE8198" w14:textId="77777777" w:rsidR="00BC1DC9" w:rsidRDefault="00BC1DC9">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modalités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EE83C1" w14:textId="77777777" w:rsidR="00BC1DC9" w:rsidRDefault="00BC1DC9">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4x2H CM</w:t>
            </w:r>
          </w:p>
        </w:tc>
      </w:tr>
      <w:tr w:rsidR="00BC1DC9" w14:paraId="42E131FD" w14:textId="77777777" w:rsidTr="00BC1DC9">
        <w:trPr>
          <w:trHeight w:val="405"/>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3F0957" w14:textId="77777777" w:rsidR="00BC1DC9" w:rsidRDefault="00BC1DC9">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intervenants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6394D" w14:textId="77777777" w:rsidR="00BC1DC9" w:rsidRDefault="00BC1DC9">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 xml:space="preserve">Paris </w:t>
            </w:r>
            <w:proofErr w:type="gramStart"/>
            <w:r>
              <w:rPr>
                <w:rFonts w:ascii="Calibri" w:eastAsia="Calibri" w:hAnsi="Calibri" w:cs="Calibri"/>
                <w:color w:val="303030"/>
                <w:sz w:val="24"/>
                <w:szCs w:val="24"/>
              </w:rPr>
              <w:t>Cité ,</w:t>
            </w:r>
            <w:proofErr w:type="gramEnd"/>
            <w:r>
              <w:rPr>
                <w:rFonts w:ascii="Calibri" w:eastAsia="Calibri" w:hAnsi="Calibri" w:cs="Calibri"/>
                <w:color w:val="303030"/>
                <w:sz w:val="24"/>
                <w:szCs w:val="24"/>
              </w:rPr>
              <w:t xml:space="preserve">  </w:t>
            </w:r>
            <w:proofErr w:type="spellStart"/>
            <w:r>
              <w:rPr>
                <w:rFonts w:ascii="Calibri" w:eastAsia="Calibri" w:hAnsi="Calibri" w:cs="Calibri"/>
                <w:color w:val="303030"/>
                <w:sz w:val="24"/>
                <w:szCs w:val="24"/>
              </w:rPr>
              <w:t>Inspé</w:t>
            </w:r>
            <w:proofErr w:type="spellEnd"/>
            <w:r>
              <w:rPr>
                <w:rFonts w:ascii="Calibri" w:eastAsia="Calibri" w:hAnsi="Calibri" w:cs="Calibri"/>
                <w:color w:val="303030"/>
                <w:sz w:val="24"/>
                <w:szCs w:val="24"/>
              </w:rPr>
              <w:t xml:space="preserve"> SHS/DEI</w:t>
            </w:r>
          </w:p>
        </w:tc>
      </w:tr>
    </w:tbl>
    <w:p w14:paraId="544789DB" w14:textId="77777777" w:rsidR="00BC1DC9" w:rsidRDefault="00BC1DC9" w:rsidP="00BC1DC9">
      <w:pPr>
        <w:jc w:val="both"/>
        <w:rPr>
          <w:rFonts w:asciiTheme="majorHAnsi" w:hAnsiTheme="majorHAnsi" w:cstheme="majorHAnsi"/>
          <w:b/>
          <w:bCs/>
          <w:sz w:val="24"/>
          <w:szCs w:val="24"/>
        </w:rPr>
      </w:pPr>
    </w:p>
    <w:p w14:paraId="57807352" w14:textId="77777777" w:rsidR="00BC1DC9" w:rsidRDefault="00BC1DC9" w:rsidP="00BC1DC9">
      <w:pPr>
        <w:pStyle w:val="Paragraphedeliste"/>
        <w:numPr>
          <w:ilvl w:val="0"/>
          <w:numId w:val="2"/>
        </w:numPr>
        <w:rPr>
          <w:rFonts w:asciiTheme="majorHAnsi" w:hAnsiTheme="majorHAnsi" w:cstheme="majorHAnsi"/>
          <w:b/>
          <w:bCs/>
          <w:sz w:val="24"/>
          <w:szCs w:val="24"/>
        </w:rPr>
      </w:pPr>
      <w:r>
        <w:rPr>
          <w:rFonts w:asciiTheme="majorHAnsi" w:hAnsiTheme="majorHAnsi" w:cstheme="majorHAnsi"/>
          <w:b/>
          <w:bCs/>
          <w:sz w:val="24"/>
          <w:szCs w:val="24"/>
        </w:rPr>
        <w:t xml:space="preserve">Domaine de compétences professionnelles visé </w:t>
      </w:r>
    </w:p>
    <w:p w14:paraId="75D4E5AE" w14:textId="77777777" w:rsidR="00BC1DC9" w:rsidRDefault="00BC1DC9" w:rsidP="00BC1DC9">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(Conformément au référentiel de formation professorat 1</w:t>
      </w:r>
      <w:r>
        <w:rPr>
          <w:rFonts w:asciiTheme="majorHAnsi" w:eastAsia="Calibri" w:hAnsiTheme="majorHAnsi" w:cstheme="majorHAnsi"/>
          <w:i/>
          <w:iCs/>
          <w:sz w:val="24"/>
          <w:szCs w:val="24"/>
          <w:vertAlign w:val="superscript"/>
        </w:rPr>
        <w:t>Er</w:t>
      </w:r>
      <w:r>
        <w:rPr>
          <w:rFonts w:asciiTheme="majorHAnsi" w:eastAsia="Calibri" w:hAnsiTheme="majorHAnsi" w:cstheme="majorHAnsi"/>
          <w:i/>
          <w:iCs/>
          <w:sz w:val="24"/>
          <w:szCs w:val="24"/>
        </w:rPr>
        <w:t>, 2</w:t>
      </w:r>
      <w:r>
        <w:rPr>
          <w:rFonts w:asciiTheme="majorHAnsi" w:eastAsia="Calibri" w:hAnsiTheme="majorHAnsi" w:cstheme="majorHAnsi"/>
          <w:i/>
          <w:iCs/>
          <w:sz w:val="24"/>
          <w:szCs w:val="24"/>
          <w:vertAlign w:val="superscript"/>
        </w:rPr>
        <w:t>nd</w:t>
      </w:r>
      <w:r>
        <w:rPr>
          <w:rFonts w:asciiTheme="majorHAnsi" w:eastAsia="Calibri" w:hAnsiTheme="majorHAnsi" w:cstheme="majorHAnsi"/>
          <w:i/>
          <w:iCs/>
          <w:sz w:val="24"/>
          <w:szCs w:val="24"/>
        </w:rPr>
        <w:t xml:space="preserve"> degré, EE)</w:t>
      </w:r>
    </w:p>
    <w:p w14:paraId="037C3CB3" w14:textId="77777777" w:rsidR="00BC1DC9" w:rsidRDefault="00BC1DC9" w:rsidP="00BC1DC9">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Acquérir et mobiliser ses connaissances sur le développement de l'enfant dans sa pratique.</w:t>
      </w:r>
    </w:p>
    <w:p w14:paraId="50315580" w14:textId="77777777" w:rsidR="00BC1DC9" w:rsidRDefault="00BC1DC9" w:rsidP="00BC1DC9">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Prendre en compte toutes les dimensions cognitive, langagière, sociale, affective et motrice dans son enseignement, de façon adaptée à l’âge des enfants du cycle 1 au cycle 3.</w:t>
      </w:r>
    </w:p>
    <w:p w14:paraId="0FA9EB5E" w14:textId="77777777" w:rsidR="00BC1DC9" w:rsidRDefault="00BC1DC9" w:rsidP="00BC1DC9">
      <w:pPr>
        <w:ind w:left="360"/>
        <w:jc w:val="both"/>
        <w:rPr>
          <w:rFonts w:asciiTheme="majorHAnsi" w:eastAsia="Calibri" w:hAnsiTheme="majorHAnsi" w:cstheme="majorHAnsi"/>
          <w:sz w:val="24"/>
          <w:szCs w:val="24"/>
        </w:rPr>
      </w:pPr>
    </w:p>
    <w:p w14:paraId="04B71CCA" w14:textId="77777777" w:rsidR="00BC1DC9" w:rsidRDefault="00BC1DC9" w:rsidP="00BC1DC9">
      <w:pPr>
        <w:pStyle w:val="Paragraphedeliste"/>
        <w:numPr>
          <w:ilvl w:val="0"/>
          <w:numId w:val="2"/>
        </w:numPr>
        <w:rPr>
          <w:rFonts w:asciiTheme="majorHAnsi" w:eastAsia="Arial" w:hAnsiTheme="majorHAnsi" w:cstheme="majorHAnsi"/>
          <w:b/>
          <w:bCs/>
          <w:sz w:val="24"/>
          <w:szCs w:val="24"/>
        </w:rPr>
      </w:pPr>
      <w:r>
        <w:rPr>
          <w:rFonts w:asciiTheme="majorHAnsi" w:hAnsiTheme="majorHAnsi" w:cstheme="majorHAnsi"/>
          <w:b/>
          <w:bCs/>
          <w:sz w:val="24"/>
          <w:szCs w:val="24"/>
        </w:rPr>
        <w:t>Description et contenus</w:t>
      </w:r>
    </w:p>
    <w:p w14:paraId="7FD8283A" w14:textId="77777777" w:rsidR="00BC1DC9" w:rsidRDefault="00BC1DC9" w:rsidP="00BC1DC9">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 xml:space="preserve">Destiné aux élèves fonctionnaires (2nd degré, EE et </w:t>
      </w:r>
      <w:r>
        <w:rPr>
          <w:rFonts w:asciiTheme="majorHAnsi" w:eastAsia="Arial" w:hAnsiTheme="majorHAnsi" w:cstheme="majorHAnsi"/>
          <w:b/>
          <w:bCs/>
          <w:sz w:val="24"/>
          <w:szCs w:val="24"/>
        </w:rPr>
        <w:t>1er degré sans LPE</w:t>
      </w:r>
      <w:r>
        <w:rPr>
          <w:rFonts w:asciiTheme="majorHAnsi" w:eastAsia="Arial" w:hAnsiTheme="majorHAnsi" w:cstheme="majorHAnsi"/>
          <w:sz w:val="24"/>
          <w:szCs w:val="24"/>
        </w:rPr>
        <w:t>), cet enseignement vise à apporter aux étudiants les principaux repères scientifiques sur le développement de l’enfant et de l’adolescent, afin de mieux comprendre les processus d’apprentissage et les besoins des élèves aux différents âges de la scolarité. Il s’appuie sur les apports de la psychologie du développement, de la psychologie de l’éducation et des neurosciences développementales afin d’éclairer les pratiques pédagogiques et éducatives à l’école. Cet enseignement propose d’abord une introduction aux théories et modèles du développement et aux débats scientifiques qui structurent ce champ de recherche, en mettant en évidence leurs implications pour l’enseignement et l’apprentissage. Le cours abordera ensuite les différentes dimensions du développement de l’enfant, de la naissance à l’entrée à l’école puis durant les années de scolarité : développement psychomoteur, cognitif, langagier, affectif et social.</w:t>
      </w:r>
    </w:p>
    <w:p w14:paraId="228C37C7" w14:textId="77777777" w:rsidR="00BC1DC9" w:rsidRDefault="00BC1DC9" w:rsidP="00BC1DC9">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 Enfin, cet enseignement introduira les spécificités du développement social et émotionnel à l’adolescence, notamment les questions liées aux émotions, à leur régulation, à la prise de risque en s’appuyant sur les modèles neurodéveloppementaux actuels. À l’issue de cet enseignement, les étudiants devront être capables de mobiliser des connaissances fondamentales sur le développement de l’enfant et de l’adolescent, de comprendre les rythmes d’apprentissage des élèves dans leurs dimensions cognitive, langagière, sociale, affective et motrice, et d’en tirer des implications pour l’observation et l’accompagnement des apprentissages en contexte scolaire.</w:t>
      </w:r>
    </w:p>
    <w:p w14:paraId="784486C3" w14:textId="77777777" w:rsidR="00BC1DC9" w:rsidRDefault="00BC1DC9" w:rsidP="00BC1DC9">
      <w:pPr>
        <w:ind w:left="360"/>
        <w:jc w:val="both"/>
        <w:rPr>
          <w:rFonts w:asciiTheme="majorHAnsi" w:eastAsia="Arial" w:hAnsiTheme="majorHAnsi" w:cstheme="majorHAnsi"/>
        </w:rPr>
      </w:pPr>
      <w:r>
        <w:rPr>
          <w:rFonts w:asciiTheme="majorHAnsi" w:eastAsia="Arial" w:hAnsiTheme="majorHAnsi" w:cstheme="majorHAnsi"/>
        </w:rPr>
        <w:t>Bibliographie</w:t>
      </w:r>
    </w:p>
    <w:p w14:paraId="77F2CCE4" w14:textId="77777777" w:rsidR="00BC1DC9" w:rsidRDefault="00BC1DC9" w:rsidP="00BC1DC9">
      <w:pPr>
        <w:ind w:left="360"/>
        <w:jc w:val="both"/>
        <w:rPr>
          <w:rFonts w:asciiTheme="majorHAnsi" w:eastAsia="Arial" w:hAnsiTheme="majorHAnsi" w:cstheme="majorHAnsi"/>
        </w:rPr>
      </w:pPr>
      <w:r>
        <w:rPr>
          <w:rFonts w:asciiTheme="majorHAnsi" w:eastAsia="Arial" w:hAnsiTheme="majorHAnsi" w:cstheme="majorHAnsi"/>
        </w:rPr>
        <w:t xml:space="preserve">Houdé, O. (2024). L’école du cerveau : De Montessori, Freinet et Piaget aux sciences cognitives–comprendre, enseigner et apprendre avec la </w:t>
      </w:r>
      <w:proofErr w:type="spellStart"/>
      <w:r>
        <w:rPr>
          <w:rFonts w:asciiTheme="majorHAnsi" w:eastAsia="Arial" w:hAnsiTheme="majorHAnsi" w:cstheme="majorHAnsi"/>
        </w:rPr>
        <w:t>neuropédagogie</w:t>
      </w:r>
      <w:proofErr w:type="spellEnd"/>
      <w:r>
        <w:rPr>
          <w:rFonts w:asciiTheme="majorHAnsi" w:eastAsia="Arial" w:hAnsiTheme="majorHAnsi" w:cstheme="majorHAnsi"/>
        </w:rPr>
        <w:t>. Mardaga.</w:t>
      </w:r>
    </w:p>
    <w:p w14:paraId="38AB2FF4" w14:textId="77777777" w:rsidR="00BC1DC9" w:rsidRDefault="00BC1DC9" w:rsidP="00BC1DC9">
      <w:pPr>
        <w:ind w:left="360"/>
        <w:jc w:val="both"/>
        <w:rPr>
          <w:rFonts w:asciiTheme="majorHAnsi" w:eastAsia="Arial" w:hAnsiTheme="majorHAnsi" w:cstheme="majorHAnsi"/>
        </w:rPr>
      </w:pPr>
      <w:r>
        <w:rPr>
          <w:rFonts w:asciiTheme="majorHAnsi" w:eastAsia="Arial" w:hAnsiTheme="majorHAnsi" w:cstheme="majorHAnsi"/>
        </w:rPr>
        <w:t xml:space="preserve">Houdé, O., &amp; </w:t>
      </w:r>
      <w:proofErr w:type="spellStart"/>
      <w:r>
        <w:rPr>
          <w:rFonts w:asciiTheme="majorHAnsi" w:eastAsia="Arial" w:hAnsiTheme="majorHAnsi" w:cstheme="majorHAnsi"/>
        </w:rPr>
        <w:t>Borst</w:t>
      </w:r>
      <w:proofErr w:type="spellEnd"/>
      <w:r>
        <w:rPr>
          <w:rFonts w:asciiTheme="majorHAnsi" w:eastAsia="Arial" w:hAnsiTheme="majorHAnsi" w:cstheme="majorHAnsi"/>
        </w:rPr>
        <w:t>, G. (</w:t>
      </w:r>
      <w:proofErr w:type="spellStart"/>
      <w:r>
        <w:rPr>
          <w:rFonts w:asciiTheme="majorHAnsi" w:eastAsia="Arial" w:hAnsiTheme="majorHAnsi" w:cstheme="majorHAnsi"/>
        </w:rPr>
        <w:t>Eds</w:t>
      </w:r>
      <w:proofErr w:type="spellEnd"/>
      <w:r>
        <w:rPr>
          <w:rFonts w:asciiTheme="majorHAnsi" w:eastAsia="Arial" w:hAnsiTheme="majorHAnsi" w:cstheme="majorHAnsi"/>
        </w:rPr>
        <w:t xml:space="preserve">.). (2022). The Cambridge </w:t>
      </w:r>
      <w:proofErr w:type="spellStart"/>
      <w:r>
        <w:rPr>
          <w:rFonts w:asciiTheme="majorHAnsi" w:eastAsia="Arial" w:hAnsiTheme="majorHAnsi" w:cstheme="majorHAnsi"/>
        </w:rPr>
        <w:t>handbook</w:t>
      </w:r>
      <w:proofErr w:type="spellEnd"/>
      <w:r>
        <w:rPr>
          <w:rFonts w:asciiTheme="majorHAnsi" w:eastAsia="Arial" w:hAnsiTheme="majorHAnsi" w:cstheme="majorHAnsi"/>
        </w:rPr>
        <w:t xml:space="preserve"> of cognitive </w:t>
      </w:r>
      <w:proofErr w:type="spellStart"/>
      <w:r>
        <w:rPr>
          <w:rFonts w:asciiTheme="majorHAnsi" w:eastAsia="Arial" w:hAnsiTheme="majorHAnsi" w:cstheme="majorHAnsi"/>
        </w:rPr>
        <w:t>development</w:t>
      </w:r>
      <w:proofErr w:type="spellEnd"/>
      <w:r>
        <w:rPr>
          <w:rFonts w:asciiTheme="majorHAnsi" w:eastAsia="Arial" w:hAnsiTheme="majorHAnsi" w:cstheme="majorHAnsi"/>
        </w:rPr>
        <w:t xml:space="preserve">. Cambridge </w:t>
      </w:r>
      <w:proofErr w:type="spellStart"/>
      <w:r>
        <w:rPr>
          <w:rFonts w:asciiTheme="majorHAnsi" w:eastAsia="Arial" w:hAnsiTheme="majorHAnsi" w:cstheme="majorHAnsi"/>
        </w:rPr>
        <w:t>University</w:t>
      </w:r>
      <w:proofErr w:type="spellEnd"/>
      <w:r>
        <w:rPr>
          <w:rFonts w:asciiTheme="majorHAnsi" w:eastAsia="Arial" w:hAnsiTheme="majorHAnsi" w:cstheme="majorHAnsi"/>
        </w:rPr>
        <w:t xml:space="preserve"> </w:t>
      </w:r>
      <w:proofErr w:type="spellStart"/>
      <w:r>
        <w:rPr>
          <w:rFonts w:asciiTheme="majorHAnsi" w:eastAsia="Arial" w:hAnsiTheme="majorHAnsi" w:cstheme="majorHAnsi"/>
        </w:rPr>
        <w:t>Press</w:t>
      </w:r>
      <w:proofErr w:type="spellEnd"/>
      <w:r>
        <w:rPr>
          <w:rFonts w:asciiTheme="majorHAnsi" w:eastAsia="Arial" w:hAnsiTheme="majorHAnsi" w:cstheme="majorHAnsi"/>
        </w:rPr>
        <w:t>.</w:t>
      </w:r>
    </w:p>
    <w:p w14:paraId="1A5B777D" w14:textId="77777777" w:rsidR="00BC1DC9" w:rsidRDefault="00BC1DC9" w:rsidP="00BC1DC9">
      <w:pPr>
        <w:ind w:left="360"/>
        <w:jc w:val="both"/>
        <w:rPr>
          <w:rFonts w:asciiTheme="majorHAnsi" w:eastAsia="Arial" w:hAnsiTheme="majorHAnsi" w:cstheme="majorHAnsi"/>
        </w:rPr>
      </w:pPr>
      <w:r>
        <w:rPr>
          <w:rFonts w:asciiTheme="majorHAnsi" w:eastAsia="Arial" w:hAnsiTheme="majorHAnsi" w:cstheme="majorHAnsi"/>
        </w:rPr>
        <w:t xml:space="preserve">Miljkovitch, R., </w:t>
      </w:r>
      <w:proofErr w:type="spellStart"/>
      <w:r>
        <w:rPr>
          <w:rFonts w:asciiTheme="majorHAnsi" w:eastAsia="Arial" w:hAnsiTheme="majorHAnsi" w:cstheme="majorHAnsi"/>
        </w:rPr>
        <w:t>Morange-Majoux</w:t>
      </w:r>
      <w:proofErr w:type="spellEnd"/>
      <w:r>
        <w:rPr>
          <w:rFonts w:asciiTheme="majorHAnsi" w:eastAsia="Arial" w:hAnsiTheme="majorHAnsi" w:cstheme="majorHAnsi"/>
        </w:rPr>
        <w:t xml:space="preserve">, F., &amp; Sander, E. (2017). Psychologie du développement. Elsevier </w:t>
      </w:r>
      <w:proofErr w:type="spellStart"/>
      <w:r>
        <w:rPr>
          <w:rFonts w:asciiTheme="majorHAnsi" w:eastAsia="Arial" w:hAnsiTheme="majorHAnsi" w:cstheme="majorHAnsi"/>
        </w:rPr>
        <w:t>Health</w:t>
      </w:r>
      <w:proofErr w:type="spellEnd"/>
      <w:r>
        <w:rPr>
          <w:rFonts w:asciiTheme="majorHAnsi" w:eastAsia="Arial" w:hAnsiTheme="majorHAnsi" w:cstheme="majorHAnsi"/>
        </w:rPr>
        <w:t xml:space="preserve"> Sciences.</w:t>
      </w:r>
    </w:p>
    <w:p w14:paraId="4203B3B4" w14:textId="77777777" w:rsidR="00BC1DC9" w:rsidRDefault="00BC1DC9" w:rsidP="00BC1DC9">
      <w:pPr>
        <w:ind w:left="360"/>
        <w:jc w:val="both"/>
        <w:rPr>
          <w:rFonts w:asciiTheme="majorHAnsi" w:eastAsia="Arial" w:hAnsiTheme="majorHAnsi" w:cstheme="majorHAnsi"/>
        </w:rPr>
      </w:pPr>
      <w:proofErr w:type="spellStart"/>
      <w:r>
        <w:rPr>
          <w:rFonts w:asciiTheme="majorHAnsi" w:eastAsia="Arial" w:hAnsiTheme="majorHAnsi" w:cstheme="majorHAnsi"/>
        </w:rPr>
        <w:t>Lucenet</w:t>
      </w:r>
      <w:proofErr w:type="spellEnd"/>
      <w:r>
        <w:rPr>
          <w:rFonts w:asciiTheme="majorHAnsi" w:eastAsia="Arial" w:hAnsiTheme="majorHAnsi" w:cstheme="majorHAnsi"/>
        </w:rPr>
        <w:t xml:space="preserve">, J., &amp; </w:t>
      </w:r>
      <w:proofErr w:type="spellStart"/>
      <w:r>
        <w:rPr>
          <w:rFonts w:asciiTheme="majorHAnsi" w:eastAsia="Arial" w:hAnsiTheme="majorHAnsi" w:cstheme="majorHAnsi"/>
        </w:rPr>
        <w:t>Perchec</w:t>
      </w:r>
      <w:proofErr w:type="spellEnd"/>
      <w:r>
        <w:rPr>
          <w:rFonts w:asciiTheme="majorHAnsi" w:eastAsia="Arial" w:hAnsiTheme="majorHAnsi" w:cstheme="majorHAnsi"/>
        </w:rPr>
        <w:t>, C. (2025). Psychologie du développement : Les fondamentaux en visuels (licence). De Boeck Supérieur.</w:t>
      </w:r>
    </w:p>
    <w:p w14:paraId="489399C6" w14:textId="77777777" w:rsidR="00827385" w:rsidRDefault="00827385"/>
    <w:sectPr w:rsidR="008273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D6DA0"/>
    <w:multiLevelType w:val="hybridMultilevel"/>
    <w:tmpl w:val="D3002E12"/>
    <w:lvl w:ilvl="0" w:tplc="DA22E9A4">
      <w:numFmt w:val="bullet"/>
      <w:lvlText w:val=""/>
      <w:lvlJc w:val="left"/>
      <w:pPr>
        <w:ind w:left="720" w:hanging="360"/>
      </w:pPr>
      <w:rPr>
        <w:rFonts w:ascii="Wingdings" w:eastAsia="Calibri" w:hAnsi="Wingdings" w:cstheme="majorHAns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723116C2"/>
    <w:multiLevelType w:val="hybridMultilevel"/>
    <w:tmpl w:val="E17845AA"/>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42C"/>
    <w:rsid w:val="007E642C"/>
    <w:rsid w:val="00827385"/>
    <w:rsid w:val="00BC1D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E1C05"/>
  <w15:chartTrackingRefBased/>
  <w15:docId w15:val="{4D44D889-699B-43EE-BF6F-C7B530D75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DC9"/>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BC1DC9"/>
    <w:pPr>
      <w:ind w:left="720"/>
      <w:jc w:val="both"/>
    </w:pPr>
    <w:rPr>
      <w:rFonts w:ascii="Century Gothic" w:eastAsia="Calibri" w:hAnsi="Century Gothic" w:cs="Century Gothic"/>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990236">
      <w:bodyDiv w:val="1"/>
      <w:marLeft w:val="0"/>
      <w:marRight w:val="0"/>
      <w:marTop w:val="0"/>
      <w:marBottom w:val="0"/>
      <w:divBdr>
        <w:top w:val="none" w:sz="0" w:space="0" w:color="auto"/>
        <w:left w:val="none" w:sz="0" w:space="0" w:color="auto"/>
        <w:bottom w:val="none" w:sz="0" w:space="0" w:color="auto"/>
        <w:right w:val="none" w:sz="0" w:space="0" w:color="auto"/>
      </w:divBdr>
    </w:div>
    <w:div w:id="172236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428</Words>
  <Characters>2355</Characters>
  <Application>Microsoft Office Word</Application>
  <DocSecurity>0</DocSecurity>
  <Lines>19</Lines>
  <Paragraphs>5</Paragraphs>
  <ScaleCrop>false</ScaleCrop>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flagneau</dc:creator>
  <cp:keywords/>
  <dc:description/>
  <cp:lastModifiedBy>flagneau</cp:lastModifiedBy>
  <cp:revision>2</cp:revision>
  <dcterms:created xsi:type="dcterms:W3CDTF">2026-09-04T06:55:00Z</dcterms:created>
  <dcterms:modified xsi:type="dcterms:W3CDTF">2026-09-04T06:55:00Z</dcterms:modified>
</cp:coreProperties>
</file>