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3B461" w14:textId="77777777" w:rsidR="007B1249" w:rsidRDefault="007B1249" w:rsidP="007B1249">
      <w:pPr>
        <w:jc w:val="both"/>
        <w:rPr>
          <w:rFonts w:asciiTheme="majorHAnsi" w:eastAsia="Arial" w:hAnsiTheme="majorHAnsi" w:cstheme="majorHAnsi"/>
          <w:b/>
          <w:bCs/>
          <w:sz w:val="24"/>
          <w:szCs w:val="24"/>
        </w:rPr>
      </w:pPr>
      <w:r>
        <w:rPr>
          <w:rFonts w:asciiTheme="majorHAnsi" w:eastAsia="Arial" w:hAnsiTheme="majorHAnsi" w:cstheme="majorHAnsi"/>
          <w:b/>
          <w:bCs/>
          <w:sz w:val="24"/>
          <w:szCs w:val="24"/>
        </w:rPr>
        <w:t>Accompagner le projet de l’élève</w:t>
      </w:r>
    </w:p>
    <w:p w14:paraId="203BB82B" w14:textId="77777777" w:rsidR="007B1249" w:rsidRDefault="007B1249" w:rsidP="007B1249">
      <w:pPr>
        <w:pStyle w:val="Paragraphedeliste"/>
        <w:numPr>
          <w:ilvl w:val="0"/>
          <w:numId w:val="1"/>
        </w:numPr>
        <w:spacing w:after="180"/>
        <w:jc w:val="right"/>
        <w:rPr>
          <w:rFonts w:asciiTheme="majorHAnsi" w:hAnsiTheme="majorHAnsi" w:cstheme="majorHAnsi"/>
          <w:b/>
          <w:bCs/>
          <w:color w:val="70AD47" w:themeColor="accent6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70AD47" w:themeColor="accent6"/>
          <w:sz w:val="24"/>
          <w:szCs w:val="24"/>
        </w:rPr>
        <w:t>SPECIFICITE 2</w:t>
      </w:r>
      <w:r>
        <w:rPr>
          <w:rFonts w:asciiTheme="majorHAnsi" w:hAnsiTheme="majorHAnsi" w:cstheme="majorHAnsi"/>
          <w:b/>
          <w:bCs/>
          <w:color w:val="70AD47" w:themeColor="accent6"/>
          <w:sz w:val="24"/>
          <w:szCs w:val="24"/>
          <w:vertAlign w:val="superscript"/>
        </w:rPr>
        <w:t>ND</w:t>
      </w:r>
      <w:r>
        <w:rPr>
          <w:rFonts w:asciiTheme="majorHAnsi" w:hAnsiTheme="majorHAnsi" w:cstheme="majorHAnsi"/>
          <w:b/>
          <w:bCs/>
          <w:color w:val="70AD47" w:themeColor="accent6"/>
          <w:sz w:val="24"/>
          <w:szCs w:val="24"/>
        </w:rPr>
        <w:t xml:space="preserve"> DEGRE, EE</w:t>
      </w:r>
    </w:p>
    <w:tbl>
      <w:tblPr>
        <w:tblW w:w="89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8"/>
        <w:gridCol w:w="7232"/>
      </w:tblGrid>
      <w:tr w:rsidR="007B1249" w14:paraId="200966A4" w14:textId="77777777" w:rsidTr="007B1249">
        <w:trPr>
          <w:trHeight w:val="193"/>
        </w:trPr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1515AD" w14:textId="77777777" w:rsidR="007B1249" w:rsidRDefault="007B1249">
            <w:pPr>
              <w:widowControl w:val="0"/>
              <w:jc w:val="both"/>
              <w:rPr>
                <w:rFonts w:ascii="Calibri" w:eastAsia="Calibri" w:hAnsi="Calibri" w:cs="Calibri"/>
                <w:color w:val="30303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303030"/>
                <w:sz w:val="24"/>
                <w:szCs w:val="24"/>
              </w:rPr>
              <w:t>volume</w:t>
            </w:r>
            <w:proofErr w:type="gramEnd"/>
            <w:r>
              <w:rPr>
                <w:rFonts w:ascii="Calibri" w:eastAsia="Calibri" w:hAnsi="Calibri" w:cs="Calibri"/>
                <w:color w:val="303030"/>
                <w:sz w:val="24"/>
                <w:szCs w:val="24"/>
              </w:rPr>
              <w:t xml:space="preserve"> horaire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ED4F55" w14:textId="77777777" w:rsidR="007B1249" w:rsidRDefault="007B1249">
            <w:pPr>
              <w:widowControl w:val="0"/>
              <w:jc w:val="both"/>
              <w:rPr>
                <w:rFonts w:ascii="Calibri" w:eastAsia="Calibri" w:hAnsi="Calibri" w:cs="Calibri"/>
                <w:b/>
                <w:bCs/>
                <w:color w:val="30303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303030"/>
                <w:sz w:val="24"/>
                <w:szCs w:val="24"/>
              </w:rPr>
              <w:t>10H</w:t>
            </w:r>
          </w:p>
        </w:tc>
      </w:tr>
      <w:tr w:rsidR="007B1249" w14:paraId="01F2C45B" w14:textId="77777777" w:rsidTr="007B1249">
        <w:trPr>
          <w:trHeight w:val="193"/>
        </w:trPr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B377AC" w14:textId="77777777" w:rsidR="007B1249" w:rsidRDefault="007B1249">
            <w:pPr>
              <w:widowControl w:val="0"/>
              <w:jc w:val="both"/>
              <w:rPr>
                <w:rFonts w:ascii="Calibri" w:eastAsia="Calibri" w:hAnsi="Calibri" w:cs="Calibri"/>
                <w:color w:val="30303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303030"/>
                <w:sz w:val="24"/>
                <w:szCs w:val="24"/>
              </w:rPr>
              <w:t>modalités</w:t>
            </w:r>
            <w:proofErr w:type="gramEnd"/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02D003" w14:textId="77777777" w:rsidR="007B1249" w:rsidRDefault="007B1249">
            <w:pPr>
              <w:widowControl w:val="0"/>
              <w:jc w:val="both"/>
              <w:rPr>
                <w:rFonts w:ascii="Calibri" w:eastAsia="Calibri" w:hAnsi="Calibri" w:cs="Calibri"/>
                <w:color w:val="30303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03030"/>
                <w:sz w:val="24"/>
                <w:szCs w:val="24"/>
              </w:rPr>
              <w:t>TD :5x2H</w:t>
            </w:r>
          </w:p>
        </w:tc>
      </w:tr>
      <w:tr w:rsidR="007B1249" w14:paraId="22E8D0BF" w14:textId="77777777" w:rsidTr="007B1249">
        <w:trPr>
          <w:trHeight w:val="405"/>
        </w:trPr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63928D" w14:textId="77777777" w:rsidR="007B1249" w:rsidRDefault="007B1249">
            <w:pPr>
              <w:widowControl w:val="0"/>
              <w:jc w:val="both"/>
              <w:rPr>
                <w:rFonts w:ascii="Calibri" w:eastAsia="Calibri" w:hAnsi="Calibri" w:cs="Calibri"/>
                <w:color w:val="30303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303030"/>
                <w:sz w:val="24"/>
                <w:szCs w:val="24"/>
              </w:rPr>
              <w:t>intervenants</w:t>
            </w:r>
            <w:proofErr w:type="gramEnd"/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FA0D9B" w14:textId="77777777" w:rsidR="007B1249" w:rsidRDefault="007B1249">
            <w:pPr>
              <w:widowControl w:val="0"/>
              <w:jc w:val="both"/>
              <w:rPr>
                <w:rFonts w:ascii="Calibri" w:eastAsia="Calibri" w:hAnsi="Calibri" w:cs="Calibri"/>
                <w:color w:val="30303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03030"/>
                <w:sz w:val="24"/>
                <w:szCs w:val="24"/>
              </w:rPr>
              <w:t xml:space="preserve">6h formateurs </w:t>
            </w:r>
            <w:proofErr w:type="spellStart"/>
            <w:r>
              <w:rPr>
                <w:rFonts w:ascii="Calibri" w:eastAsia="Calibri" w:hAnsi="Calibri" w:cs="Calibri"/>
                <w:color w:val="303030"/>
                <w:sz w:val="24"/>
                <w:szCs w:val="24"/>
              </w:rPr>
              <w:t>Inspé</w:t>
            </w:r>
            <w:proofErr w:type="spellEnd"/>
            <w:r>
              <w:rPr>
                <w:rFonts w:ascii="Calibri" w:eastAsia="Calibri" w:hAnsi="Calibri" w:cs="Calibri"/>
                <w:color w:val="303030"/>
                <w:sz w:val="24"/>
                <w:szCs w:val="24"/>
              </w:rPr>
              <w:t>, 4h professionnels de terrain</w:t>
            </w:r>
          </w:p>
        </w:tc>
      </w:tr>
    </w:tbl>
    <w:p w14:paraId="589CF645" w14:textId="77777777" w:rsidR="007B1249" w:rsidRDefault="007B1249" w:rsidP="007B1249">
      <w:pPr>
        <w:ind w:left="360"/>
        <w:jc w:val="both"/>
        <w:rPr>
          <w:rFonts w:asciiTheme="majorHAnsi" w:eastAsia="Arial" w:hAnsiTheme="majorHAnsi" w:cstheme="majorHAnsi"/>
          <w:sz w:val="24"/>
          <w:szCs w:val="24"/>
        </w:rPr>
      </w:pPr>
    </w:p>
    <w:p w14:paraId="18A08877" w14:textId="77777777" w:rsidR="007B1249" w:rsidRDefault="007B1249" w:rsidP="007B1249">
      <w:pPr>
        <w:pStyle w:val="Paragraphedeliste"/>
        <w:numPr>
          <w:ilvl w:val="0"/>
          <w:numId w:val="2"/>
        </w:num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Domaine de compétences professionnelles visé </w:t>
      </w:r>
    </w:p>
    <w:p w14:paraId="619FF713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i/>
          <w:iCs/>
          <w:sz w:val="24"/>
          <w:szCs w:val="24"/>
        </w:rPr>
      </w:pPr>
      <w:r>
        <w:rPr>
          <w:rFonts w:asciiTheme="majorHAnsi" w:eastAsia="Calibri" w:hAnsiTheme="majorHAnsi" w:cstheme="majorHAnsi"/>
          <w:i/>
          <w:iCs/>
          <w:sz w:val="24"/>
          <w:szCs w:val="24"/>
        </w:rPr>
        <w:t xml:space="preserve">(Conformément au référentiel de formation </w:t>
      </w:r>
      <w:r>
        <w:rPr>
          <w:rFonts w:asciiTheme="majorHAnsi" w:eastAsia="Calibri" w:hAnsiTheme="majorHAnsi" w:cstheme="majorHAnsi"/>
          <w:b/>
          <w:bCs/>
          <w:i/>
          <w:iCs/>
          <w:sz w:val="24"/>
          <w:szCs w:val="24"/>
        </w:rPr>
        <w:t>professorat 2</w:t>
      </w:r>
      <w:r>
        <w:rPr>
          <w:rFonts w:asciiTheme="majorHAnsi" w:eastAsia="Calibri" w:hAnsiTheme="majorHAnsi" w:cstheme="majorHAnsi"/>
          <w:b/>
          <w:bCs/>
          <w:i/>
          <w:iCs/>
          <w:sz w:val="24"/>
          <w:szCs w:val="24"/>
          <w:vertAlign w:val="superscript"/>
        </w:rPr>
        <w:t>nd</w:t>
      </w:r>
      <w:r>
        <w:rPr>
          <w:rFonts w:asciiTheme="majorHAnsi" w:eastAsia="Calibri" w:hAnsiTheme="majorHAnsi" w:cstheme="majorHAnsi"/>
          <w:b/>
          <w:bCs/>
          <w:i/>
          <w:iCs/>
          <w:sz w:val="24"/>
          <w:szCs w:val="24"/>
        </w:rPr>
        <w:t xml:space="preserve"> degré et EE)</w:t>
      </w:r>
    </w:p>
    <w:p w14:paraId="50D6766F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Contribuer à la fluidité du parcours scolaire au service de la réussite des élèves</w:t>
      </w:r>
    </w:p>
    <w:p w14:paraId="4E8A54B1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Comprendre le rôle du conseil pédagogique, du conseil école-collège, des conseils de classe notamment dans l’organisation de la continuité des apprentissages et la gestion des transitions scolaires.</w:t>
      </w:r>
    </w:p>
    <w:p w14:paraId="2BDFF85F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Comprendre les objectifs et le fonctionnement de ces instances.</w:t>
      </w:r>
    </w:p>
    <w:p w14:paraId="4A4827D5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Accompagner le choix des élèves (voies, séries ou spécialités et options) au service de leur projet professionnel ou d’orientation.</w:t>
      </w:r>
    </w:p>
    <w:p w14:paraId="4D2CEF9E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Contribuer à préparer les élèves aux transitions école –collège, collège-lycée et lycée –enseignement supérieur.</w:t>
      </w:r>
    </w:p>
    <w:p w14:paraId="4FF1670D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Prévenir le décrochage scolaire</w:t>
      </w:r>
    </w:p>
    <w:p w14:paraId="7B0B31B7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Mettre en œuvre des gestes professionnels qui favorisent la persévérance scolaire dans le cadre de son enseignement, de la vie de classe et de l’établissement.</w:t>
      </w:r>
    </w:p>
    <w:p w14:paraId="777F2B12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Connaître l’existence des dispositifs de lutte contre le décrochage scolaire en collège comme au lycée (dont professionnel) et les interlocuteurs à mobiliser.</w:t>
      </w:r>
    </w:p>
    <w:p w14:paraId="64A43976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Mettre en œuvre des stratégies qui permettent le retour en classe des élèves décrocheurs.</w:t>
      </w:r>
    </w:p>
    <w:p w14:paraId="0B3D61AD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 Intégrer les compétences à s’orienter dans le cadre des enseignements</w:t>
      </w:r>
    </w:p>
    <w:p w14:paraId="4CD8DC59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Approfondir la connaissance des différentes voies d’enseignement et de leurs spécificités.</w:t>
      </w:r>
    </w:p>
    <w:p w14:paraId="368A2C82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Développer activement les compétences des élèves à s’orienter.</w:t>
      </w:r>
    </w:p>
    <w:p w14:paraId="6DDA3976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Connaître les missions d’un professeur principal.</w:t>
      </w:r>
    </w:p>
    <w:p w14:paraId="67DB5395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42274BC" w14:textId="77777777" w:rsidR="007B1249" w:rsidRDefault="007B1249" w:rsidP="007B1249">
      <w:pPr>
        <w:pStyle w:val="Paragraphedeliste"/>
        <w:numPr>
          <w:ilvl w:val="0"/>
          <w:numId w:val="2"/>
        </w:numPr>
        <w:rPr>
          <w:rFonts w:asciiTheme="majorHAnsi" w:eastAsia="Arial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Description et contenus</w:t>
      </w:r>
    </w:p>
    <w:p w14:paraId="18E548EF" w14:textId="77777777" w:rsidR="007B1249" w:rsidRDefault="007B1249" w:rsidP="007B1249">
      <w:pPr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Cet enseignement visera à :</w:t>
      </w:r>
    </w:p>
    <w:p w14:paraId="2F2BBD3C" w14:textId="77777777" w:rsidR="007B1249" w:rsidRDefault="007B1249" w:rsidP="007B1249">
      <w:pPr>
        <w:pStyle w:val="Paragraphedeliste"/>
        <w:numPr>
          <w:ilvl w:val="0"/>
          <w:numId w:val="3"/>
        </w:numPr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Comprendre comment les différents professionnels peuvent agir au sein du Parcours Avenir au collège et au lycée en s’appuyant sur ses trois missions :</w:t>
      </w:r>
    </w:p>
    <w:p w14:paraId="3C077A6B" w14:textId="77777777" w:rsidR="007B1249" w:rsidRDefault="007B1249" w:rsidP="007B1249">
      <w:pPr>
        <w:ind w:left="1440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1) Permettre de découvrir le monde économique et professionnel</w:t>
      </w:r>
    </w:p>
    <w:p w14:paraId="05F029A0" w14:textId="77777777" w:rsidR="007B1249" w:rsidRDefault="007B1249" w:rsidP="007B1249">
      <w:pPr>
        <w:ind w:left="1440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2/ permettre de développer le sens de l'engagement et de l’initiative des élèves</w:t>
      </w:r>
    </w:p>
    <w:p w14:paraId="69798EED" w14:textId="77777777" w:rsidR="007B1249" w:rsidRDefault="007B1249" w:rsidP="007B1249">
      <w:pPr>
        <w:ind w:left="1440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3/ permettre d’élaborer un projet d’orientation scolaire et professionnelle</w:t>
      </w:r>
    </w:p>
    <w:p w14:paraId="776D15F3" w14:textId="77777777" w:rsidR="007B1249" w:rsidRDefault="007B1249" w:rsidP="007B1249">
      <w:pPr>
        <w:pStyle w:val="Paragraphedeliste"/>
        <w:numPr>
          <w:ilvl w:val="0"/>
          <w:numId w:val="4"/>
        </w:numPr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Identifier et prévenir le décrochage scolaire</w:t>
      </w:r>
    </w:p>
    <w:p w14:paraId="2EF01526" w14:textId="77777777" w:rsidR="007B1249" w:rsidRDefault="007B1249" w:rsidP="007B1249">
      <w:pPr>
        <w:pStyle w:val="Paragraphedeliste"/>
        <w:numPr>
          <w:ilvl w:val="0"/>
          <w:numId w:val="4"/>
        </w:numPr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Connaître les gestes professionnels, les structures et les dispositifs pour contribuer au raccrochage scolaire</w:t>
      </w:r>
    </w:p>
    <w:p w14:paraId="4B680EAC" w14:textId="77777777" w:rsidR="007B1249" w:rsidRDefault="007B1249" w:rsidP="007B1249">
      <w:pPr>
        <w:jc w:val="both"/>
        <w:rPr>
          <w:rFonts w:asciiTheme="majorHAnsi" w:eastAsia="Arial" w:hAnsiTheme="majorHAnsi" w:cstheme="majorHAnsi"/>
          <w:sz w:val="24"/>
          <w:szCs w:val="24"/>
        </w:rPr>
      </w:pPr>
    </w:p>
    <w:p w14:paraId="7207BB57" w14:textId="77777777" w:rsidR="007B1249" w:rsidRDefault="007B1249" w:rsidP="007B1249">
      <w:pPr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L'évaluation sera construite par les formatrices et formateurs impliqués.</w:t>
      </w:r>
    </w:p>
    <w:p w14:paraId="2DAAF729" w14:textId="77777777" w:rsidR="007B1249" w:rsidRDefault="007B1249" w:rsidP="007B1249">
      <w:pPr>
        <w:jc w:val="both"/>
        <w:rPr>
          <w:rFonts w:asciiTheme="majorHAnsi" w:eastAsia="Arial" w:hAnsiTheme="majorHAnsi" w:cstheme="majorHAnsi"/>
          <w:sz w:val="24"/>
          <w:szCs w:val="24"/>
        </w:rPr>
      </w:pPr>
    </w:p>
    <w:p w14:paraId="12D8B1CB" w14:textId="77777777" w:rsidR="007B1249" w:rsidRDefault="007B1249" w:rsidP="007B1249">
      <w:pPr>
        <w:jc w:val="both"/>
        <w:rPr>
          <w:rFonts w:asciiTheme="majorHAnsi" w:eastAsia="Arial" w:hAnsiTheme="majorHAnsi" w:cstheme="majorHAnsi"/>
          <w:sz w:val="24"/>
          <w:szCs w:val="24"/>
        </w:rPr>
      </w:pPr>
    </w:p>
    <w:p w14:paraId="1E2980AE" w14:textId="77777777" w:rsidR="007B1249" w:rsidRDefault="007B1249" w:rsidP="007B1249">
      <w:pPr>
        <w:pStyle w:val="Paragraphedeliste"/>
        <w:numPr>
          <w:ilvl w:val="0"/>
          <w:numId w:val="2"/>
        </w:num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Domaine de compétences professionnelles visé </w:t>
      </w:r>
    </w:p>
    <w:p w14:paraId="393A5513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i/>
          <w:iCs/>
          <w:sz w:val="24"/>
          <w:szCs w:val="24"/>
        </w:rPr>
      </w:pPr>
      <w:r>
        <w:rPr>
          <w:rFonts w:asciiTheme="majorHAnsi" w:eastAsia="Calibri" w:hAnsiTheme="majorHAnsi" w:cstheme="majorHAnsi"/>
          <w:i/>
          <w:iCs/>
          <w:sz w:val="24"/>
          <w:szCs w:val="24"/>
        </w:rPr>
        <w:t xml:space="preserve">(Conformément au référentiel de formation </w:t>
      </w:r>
      <w:r>
        <w:rPr>
          <w:rFonts w:asciiTheme="majorHAnsi" w:eastAsia="Calibri" w:hAnsiTheme="majorHAnsi" w:cstheme="majorHAnsi"/>
          <w:b/>
          <w:bCs/>
          <w:i/>
          <w:iCs/>
          <w:sz w:val="24"/>
          <w:szCs w:val="24"/>
        </w:rPr>
        <w:t>professeur documentaliste)</w:t>
      </w:r>
    </w:p>
    <w:p w14:paraId="0DDE86C8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lastRenderedPageBreak/>
        <w:t xml:space="preserve">– contribuer à l’ouverture de l’établissement scolaire sur l’environnement éducatif, culturel et professionnel, local et régional, national, européen et international et favoriser le travail en mode projet.  </w:t>
      </w:r>
    </w:p>
    <w:p w14:paraId="2CE56812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– organiser les ressources documentaires de l’établissement et leur mise à disposition, en veillant à la complémentarité des ressources pédagogiques ;  </w:t>
      </w:r>
    </w:p>
    <w:p w14:paraId="77D643F7" w14:textId="77777777" w:rsidR="007B1249" w:rsidRDefault="007B1249" w:rsidP="007B1249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1FA5B3B" w14:textId="77777777" w:rsidR="007B1249" w:rsidRDefault="007B1249" w:rsidP="007B1249">
      <w:pPr>
        <w:pStyle w:val="Paragraphedeliste"/>
        <w:numPr>
          <w:ilvl w:val="0"/>
          <w:numId w:val="2"/>
        </w:numPr>
        <w:rPr>
          <w:rFonts w:asciiTheme="majorHAnsi" w:eastAsia="Arial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Description et contenus</w:t>
      </w:r>
    </w:p>
    <w:p w14:paraId="2C8AD40E" w14:textId="77777777" w:rsidR="007B1249" w:rsidRDefault="007B1249" w:rsidP="007B1249">
      <w:pPr>
        <w:ind w:left="360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Comprendre comment le professeur-documentaliste peut agir au sein du Parcours Avenir au collège (DDM) et lycée (-3/+3) en s’appuyant sur ses trois missions :</w:t>
      </w:r>
    </w:p>
    <w:p w14:paraId="64F5ED08" w14:textId="77777777" w:rsidR="007B1249" w:rsidRDefault="007B1249" w:rsidP="007B1249">
      <w:pPr>
        <w:ind w:left="720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1) Apprendre à l’élève à s’informer dans un objectif de formation tout au long de la vie (FTLV) :  identifier différentes sources d’informations, faire preuve d’analyse réflexive grâce à une démarche portfolio (plateforme Avenirs), comprendre le fonctionnement des plateformes d’orientations</w:t>
      </w:r>
    </w:p>
    <w:p w14:paraId="499344D7" w14:textId="77777777" w:rsidR="007B1249" w:rsidRDefault="007B1249" w:rsidP="007B1249">
      <w:pPr>
        <w:ind w:left="720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 xml:space="preserve">2) Proposer des ressources diversifiées et fiables, analogiques et numériques (accessibles pour l’élève et sa famille), sur les formations et les métiers </w:t>
      </w:r>
    </w:p>
    <w:p w14:paraId="31C4CC64" w14:textId="77777777" w:rsidR="007B1249" w:rsidRDefault="007B1249" w:rsidP="007B1249">
      <w:pPr>
        <w:ind w:left="720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3) Communiquer sur les actions d’orientations du territoire (y compris via la plateforme Avenirs), faciliter des rencontres avec les professionnels</w:t>
      </w:r>
    </w:p>
    <w:p w14:paraId="65E1DB76" w14:textId="77777777" w:rsidR="007B1249" w:rsidRDefault="007B1249" w:rsidP="007B1249">
      <w:pPr>
        <w:ind w:left="360"/>
        <w:jc w:val="both"/>
        <w:rPr>
          <w:rFonts w:asciiTheme="majorHAnsi" w:eastAsia="Arial" w:hAnsiTheme="majorHAnsi" w:cstheme="majorHAnsi"/>
          <w:sz w:val="24"/>
          <w:szCs w:val="24"/>
        </w:rPr>
      </w:pPr>
    </w:p>
    <w:p w14:paraId="24AD347B" w14:textId="77777777" w:rsidR="007B1249" w:rsidRDefault="007B1249" w:rsidP="007B1249">
      <w:pPr>
        <w:jc w:val="both"/>
        <w:rPr>
          <w:rFonts w:asciiTheme="majorHAnsi" w:eastAsia="Arial" w:hAnsiTheme="majorHAnsi" w:cstheme="majorHAnsi"/>
          <w:b/>
          <w:bCs/>
          <w:sz w:val="28"/>
          <w:szCs w:val="28"/>
        </w:rPr>
      </w:pPr>
    </w:p>
    <w:p w14:paraId="23C31AC4" w14:textId="77777777" w:rsidR="007B1249" w:rsidRDefault="007B1249" w:rsidP="007B1249">
      <w:pPr>
        <w:jc w:val="both"/>
        <w:rPr>
          <w:rFonts w:asciiTheme="majorHAnsi" w:eastAsia="Arial" w:hAnsiTheme="majorHAnsi" w:cstheme="majorHAnsi"/>
          <w:b/>
          <w:bCs/>
          <w:sz w:val="28"/>
          <w:szCs w:val="28"/>
        </w:rPr>
      </w:pPr>
    </w:p>
    <w:p w14:paraId="146E482A" w14:textId="77777777" w:rsidR="00E465A5" w:rsidRDefault="00E465A5"/>
    <w:sectPr w:rsidR="00E46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8381C"/>
    <w:multiLevelType w:val="hybridMultilevel"/>
    <w:tmpl w:val="B3D8DCA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ED6DA0"/>
    <w:multiLevelType w:val="hybridMultilevel"/>
    <w:tmpl w:val="D3002E12"/>
    <w:lvl w:ilvl="0" w:tplc="DA22E9A4">
      <w:numFmt w:val="bullet"/>
      <w:lvlText w:val=""/>
      <w:lvlJc w:val="left"/>
      <w:pPr>
        <w:ind w:left="720" w:hanging="360"/>
      </w:pPr>
      <w:rPr>
        <w:rFonts w:ascii="Wingdings" w:eastAsia="Calibri" w:hAnsi="Wingdings" w:cstheme="majorHAns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8A6F68"/>
    <w:multiLevelType w:val="hybridMultilevel"/>
    <w:tmpl w:val="93082B6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23116C2"/>
    <w:multiLevelType w:val="hybridMultilevel"/>
    <w:tmpl w:val="7DF6A9E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1D9"/>
    <w:rsid w:val="007B1249"/>
    <w:rsid w:val="00D271D9"/>
    <w:rsid w:val="00E4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B06F7B-E014-4C94-B326-BDCA68BE4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qFormat/>
    <w:rsid w:val="007B1249"/>
    <w:pPr>
      <w:ind w:left="720"/>
      <w:jc w:val="both"/>
    </w:pPr>
    <w:rPr>
      <w:rFonts w:ascii="Century Gothic" w:eastAsia="Calibri" w:hAnsi="Century Gothic" w:cs="Century Gothic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0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2983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flagneau</dc:creator>
  <cp:keywords/>
  <dc:description/>
  <cp:lastModifiedBy>flagneau</cp:lastModifiedBy>
  <cp:revision>2</cp:revision>
  <dcterms:created xsi:type="dcterms:W3CDTF">2026-09-04T07:03:00Z</dcterms:created>
  <dcterms:modified xsi:type="dcterms:W3CDTF">2026-09-04T07:04:00Z</dcterms:modified>
</cp:coreProperties>
</file>