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F5ECE" w14:textId="77777777" w:rsidR="00F8797D" w:rsidRDefault="00F8797D" w:rsidP="00F8797D">
      <w:pPr>
        <w:jc w:val="both"/>
        <w:rPr>
          <w:rFonts w:asciiTheme="majorHAnsi" w:eastAsia="Arial" w:hAnsiTheme="majorHAnsi" w:cstheme="majorHAnsi"/>
          <w:b/>
          <w:bCs/>
          <w:sz w:val="24"/>
          <w:szCs w:val="24"/>
        </w:rPr>
      </w:pPr>
      <w:r>
        <w:rPr>
          <w:rFonts w:asciiTheme="majorHAnsi" w:eastAsia="Arial" w:hAnsiTheme="majorHAnsi" w:cstheme="majorHAnsi"/>
          <w:b/>
          <w:bCs/>
          <w:sz w:val="24"/>
          <w:szCs w:val="24"/>
        </w:rPr>
        <w:t>Climat scolaire et gestes professionnels</w:t>
      </w:r>
    </w:p>
    <w:p w14:paraId="40A4EF9C" w14:textId="77777777" w:rsidR="00F8797D" w:rsidRDefault="00F8797D" w:rsidP="00F8797D">
      <w:pPr>
        <w:jc w:val="both"/>
        <w:rPr>
          <w:rFonts w:asciiTheme="majorHAnsi" w:eastAsia="Arial" w:hAnsiTheme="majorHAnsi" w:cstheme="majorHAnsi"/>
          <w:b/>
          <w:bCs/>
          <w:sz w:val="24"/>
          <w:szCs w:val="24"/>
        </w:rPr>
      </w:pPr>
    </w:p>
    <w:p w14:paraId="1289074C" w14:textId="77777777" w:rsidR="00F8797D" w:rsidRDefault="00F8797D" w:rsidP="00F8797D">
      <w:pPr>
        <w:pStyle w:val="Paragraphedeliste"/>
        <w:numPr>
          <w:ilvl w:val="0"/>
          <w:numId w:val="1"/>
        </w:numPr>
        <w:spacing w:after="180"/>
        <w:jc w:val="right"/>
        <w:rPr>
          <w:rFonts w:asciiTheme="majorHAnsi" w:hAnsiTheme="majorHAnsi" w:cstheme="majorHAnsi"/>
          <w:b/>
          <w:bCs/>
          <w:color w:val="0070C0"/>
          <w:sz w:val="24"/>
          <w:szCs w:val="24"/>
        </w:rPr>
      </w:pPr>
      <w:r>
        <w:rPr>
          <w:rFonts w:asciiTheme="majorHAnsi" w:hAnsiTheme="majorHAnsi" w:cstheme="majorHAnsi"/>
          <w:b/>
          <w:bCs/>
          <w:color w:val="0070C0"/>
          <w:sz w:val="24"/>
          <w:szCs w:val="24"/>
        </w:rPr>
        <w:t>COMMUN DEDIE 2</w:t>
      </w:r>
      <w:r>
        <w:rPr>
          <w:rFonts w:asciiTheme="majorHAnsi" w:hAnsiTheme="majorHAnsi" w:cstheme="majorHAnsi"/>
          <w:b/>
          <w:bCs/>
          <w:color w:val="0070C0"/>
          <w:sz w:val="24"/>
          <w:szCs w:val="24"/>
          <w:vertAlign w:val="superscript"/>
        </w:rPr>
        <w:t>nd</w:t>
      </w:r>
      <w:r>
        <w:rPr>
          <w:rFonts w:asciiTheme="majorHAnsi" w:hAnsiTheme="majorHAnsi" w:cstheme="majorHAnsi"/>
          <w:b/>
          <w:bCs/>
          <w:color w:val="0070C0"/>
          <w:sz w:val="24"/>
          <w:szCs w:val="24"/>
        </w:rPr>
        <w:t xml:space="preserve"> DEGRE, EE</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8"/>
        <w:gridCol w:w="7232"/>
      </w:tblGrid>
      <w:tr w:rsidR="00F8797D" w14:paraId="7AA3D653" w14:textId="77777777" w:rsidTr="00F8797D">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996FF" w14:textId="77777777" w:rsidR="00F8797D" w:rsidRDefault="00F8797D">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volume</w:t>
            </w:r>
            <w:proofErr w:type="gramEnd"/>
            <w:r>
              <w:rPr>
                <w:rFonts w:ascii="Calibri" w:eastAsia="Calibri" w:hAnsi="Calibri" w:cs="Calibri"/>
                <w:color w:val="303030"/>
                <w:sz w:val="24"/>
                <w:szCs w:val="24"/>
              </w:rPr>
              <w:t xml:space="preserve"> horaire</w:t>
            </w:r>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28ACD" w14:textId="77777777" w:rsidR="00F8797D" w:rsidRDefault="00F8797D">
            <w:pPr>
              <w:widowControl w:val="0"/>
              <w:jc w:val="both"/>
              <w:rPr>
                <w:rFonts w:ascii="Calibri" w:eastAsia="Calibri" w:hAnsi="Calibri" w:cs="Calibri"/>
                <w:b/>
                <w:bCs/>
                <w:color w:val="303030"/>
                <w:sz w:val="24"/>
                <w:szCs w:val="24"/>
              </w:rPr>
            </w:pPr>
            <w:r>
              <w:rPr>
                <w:rFonts w:ascii="Calibri" w:eastAsia="Calibri" w:hAnsi="Calibri" w:cs="Calibri"/>
                <w:b/>
                <w:bCs/>
                <w:color w:val="303030"/>
                <w:sz w:val="24"/>
                <w:szCs w:val="24"/>
              </w:rPr>
              <w:t>15 H</w:t>
            </w:r>
          </w:p>
        </w:tc>
      </w:tr>
      <w:tr w:rsidR="00F8797D" w14:paraId="45CDC70E" w14:textId="77777777" w:rsidTr="00F8797D">
        <w:trPr>
          <w:trHeight w:val="193"/>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623818" w14:textId="77777777" w:rsidR="00F8797D" w:rsidRDefault="00F8797D">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ED9FF" w14:textId="77777777" w:rsidR="00F8797D" w:rsidRDefault="00F8797D">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6H CM toutes mentions/ 9H TD spé</w:t>
            </w:r>
          </w:p>
        </w:tc>
      </w:tr>
      <w:tr w:rsidR="00F8797D" w14:paraId="2F00D4AA" w14:textId="77777777" w:rsidTr="00F8797D">
        <w:trPr>
          <w:trHeight w:val="405"/>
        </w:trPr>
        <w:tc>
          <w:tcPr>
            <w:tcW w:w="17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A3F81" w14:textId="77777777" w:rsidR="00F8797D" w:rsidRDefault="00F8797D">
            <w:pPr>
              <w:widowControl w:val="0"/>
              <w:jc w:val="both"/>
              <w:rPr>
                <w:rFonts w:ascii="Calibri" w:eastAsia="Calibri" w:hAnsi="Calibri" w:cs="Calibri"/>
                <w:color w:val="303030"/>
                <w:sz w:val="24"/>
                <w:szCs w:val="24"/>
              </w:rPr>
            </w:pPr>
            <w:proofErr w:type="gramStart"/>
            <w:r>
              <w:rPr>
                <w:rFonts w:ascii="Calibri" w:eastAsia="Calibri" w:hAnsi="Calibri" w:cs="Calibri"/>
                <w:color w:val="303030"/>
                <w:sz w:val="24"/>
                <w:szCs w:val="24"/>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2DC0D" w14:textId="77777777" w:rsidR="00F8797D" w:rsidRDefault="00F8797D">
            <w:pPr>
              <w:widowControl w:val="0"/>
              <w:jc w:val="both"/>
              <w:rPr>
                <w:rFonts w:ascii="Calibri" w:eastAsia="Calibri" w:hAnsi="Calibri" w:cs="Calibri"/>
                <w:color w:val="303030"/>
                <w:sz w:val="24"/>
                <w:szCs w:val="24"/>
              </w:rPr>
            </w:pPr>
            <w:r>
              <w:rPr>
                <w:rFonts w:ascii="Calibri" w:eastAsia="Calibri" w:hAnsi="Calibri" w:cs="Calibri"/>
                <w:color w:val="303030"/>
                <w:sz w:val="24"/>
                <w:szCs w:val="24"/>
              </w:rPr>
              <w:t>EAFC 9H/ EI 6H : 2X3H en début d'année puis 3H EI +3H gestion explicite des comportements+ 3H EI groupe de 25/ les mercredis après-midi.</w:t>
            </w:r>
          </w:p>
        </w:tc>
      </w:tr>
    </w:tbl>
    <w:p w14:paraId="4DEB447D" w14:textId="77777777" w:rsidR="00F8797D" w:rsidRDefault="00F8797D" w:rsidP="00F8797D">
      <w:pPr>
        <w:ind w:left="360"/>
        <w:jc w:val="both"/>
        <w:rPr>
          <w:rFonts w:asciiTheme="majorHAnsi" w:eastAsia="Arial" w:hAnsiTheme="majorHAnsi" w:cstheme="majorHAnsi"/>
          <w:sz w:val="24"/>
          <w:szCs w:val="24"/>
        </w:rPr>
      </w:pPr>
    </w:p>
    <w:p w14:paraId="55AF5B3B" w14:textId="77777777" w:rsidR="00F8797D" w:rsidRDefault="00F8797D" w:rsidP="00F8797D">
      <w:pPr>
        <w:pStyle w:val="Paragraphedeliste"/>
        <w:numPr>
          <w:ilvl w:val="0"/>
          <w:numId w:val="2"/>
        </w:numPr>
        <w:rPr>
          <w:rFonts w:asciiTheme="majorHAnsi" w:eastAsia="Arial" w:hAnsiTheme="majorHAnsi" w:cstheme="majorHAnsi"/>
          <w:sz w:val="24"/>
          <w:szCs w:val="24"/>
        </w:rPr>
      </w:pPr>
      <w:r>
        <w:rPr>
          <w:rFonts w:asciiTheme="majorHAnsi" w:eastAsia="Arial" w:hAnsiTheme="majorHAnsi" w:cstheme="majorHAnsi"/>
          <w:b/>
          <w:bCs/>
          <w:sz w:val="24"/>
          <w:szCs w:val="24"/>
        </w:rPr>
        <w:t>Composante du Bloc EI 25H</w:t>
      </w:r>
    </w:p>
    <w:p w14:paraId="434BCEE2" w14:textId="77777777" w:rsidR="00F8797D" w:rsidRDefault="00F8797D" w:rsidP="00F8797D">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xml:space="preserve"> CC3 Diversité des élèves </w:t>
      </w:r>
    </w:p>
    <w:p w14:paraId="4E4C95E2" w14:textId="77777777" w:rsidR="00F8797D" w:rsidRDefault="00F8797D" w:rsidP="00F8797D">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En complément des enseignements de culture commune relatifs aux processus fondamentaux de l’apprentissage, appréhender les répercussions sur les apprentissages des différents troubles et difficultés</w:t>
      </w:r>
    </w:p>
    <w:p w14:paraId="6B1EDA83" w14:textId="77777777" w:rsidR="00F8797D" w:rsidRDefault="00F8797D" w:rsidP="00F8797D">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P3 : Construire, mettre en œuvre et animer des situations d'enseignement et d'apprentissage prenant en compte la diversité des élèves</w:t>
      </w:r>
    </w:p>
    <w:p w14:paraId="19B1C482" w14:textId="77777777" w:rsidR="00F8797D" w:rsidRDefault="00F8797D" w:rsidP="00F8797D">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Analyser les taches scolaires et les contenus d'enseignement</w:t>
      </w:r>
    </w:p>
    <w:p w14:paraId="53CC7EE0" w14:textId="77777777" w:rsidR="00F8797D" w:rsidRDefault="00F8797D" w:rsidP="00F8797D">
      <w:pPr>
        <w:ind w:left="360"/>
        <w:jc w:val="both"/>
        <w:rPr>
          <w:rFonts w:asciiTheme="majorHAnsi" w:eastAsia="Arial" w:hAnsiTheme="majorHAnsi" w:cstheme="majorHAnsi"/>
          <w:sz w:val="24"/>
          <w:szCs w:val="24"/>
        </w:rPr>
      </w:pPr>
      <w:r>
        <w:rPr>
          <w:rFonts w:asciiTheme="majorHAnsi" w:eastAsia="Arial" w:hAnsiTheme="majorHAnsi" w:cstheme="majorHAnsi"/>
          <w:sz w:val="24"/>
          <w:szCs w:val="24"/>
        </w:rPr>
        <w:t>- Identifier les besoins des élèves pour construire les réponses didactiques et pédagogiques</w:t>
      </w:r>
    </w:p>
    <w:p w14:paraId="672C346F" w14:textId="77777777" w:rsidR="00F8797D" w:rsidRDefault="00F8797D" w:rsidP="00F8797D">
      <w:pPr>
        <w:ind w:left="360"/>
        <w:jc w:val="both"/>
        <w:rPr>
          <w:rFonts w:asciiTheme="majorHAnsi" w:eastAsia="Arial" w:hAnsiTheme="majorHAnsi" w:cstheme="majorHAnsi"/>
          <w:sz w:val="24"/>
          <w:szCs w:val="24"/>
        </w:rPr>
      </w:pPr>
    </w:p>
    <w:p w14:paraId="25E47718" w14:textId="77777777" w:rsidR="00F8797D" w:rsidRDefault="00F8797D" w:rsidP="00F8797D">
      <w:pPr>
        <w:pStyle w:val="Paragraphedeliste"/>
        <w:numPr>
          <w:ilvl w:val="0"/>
          <w:numId w:val="2"/>
        </w:numPr>
        <w:rPr>
          <w:rFonts w:asciiTheme="majorHAnsi" w:hAnsiTheme="majorHAnsi" w:cstheme="majorHAnsi"/>
          <w:b/>
          <w:bCs/>
          <w:sz w:val="24"/>
          <w:szCs w:val="24"/>
        </w:rPr>
      </w:pPr>
      <w:r>
        <w:rPr>
          <w:rFonts w:asciiTheme="majorHAnsi" w:hAnsiTheme="majorHAnsi" w:cstheme="majorHAnsi"/>
          <w:b/>
          <w:bCs/>
          <w:sz w:val="24"/>
          <w:szCs w:val="24"/>
        </w:rPr>
        <w:t xml:space="preserve">Domaine de compétences professionnelles visé </w:t>
      </w:r>
    </w:p>
    <w:p w14:paraId="48B9955B" w14:textId="77777777" w:rsidR="00F8797D" w:rsidRDefault="00F8797D" w:rsidP="00F8797D">
      <w:pPr>
        <w:ind w:left="360"/>
        <w:jc w:val="both"/>
        <w:rPr>
          <w:rFonts w:asciiTheme="majorHAnsi" w:eastAsia="Calibri" w:hAnsiTheme="majorHAnsi" w:cstheme="majorHAnsi"/>
          <w:i/>
          <w:iCs/>
          <w:sz w:val="24"/>
          <w:szCs w:val="24"/>
        </w:rPr>
      </w:pPr>
      <w:r>
        <w:rPr>
          <w:rFonts w:asciiTheme="majorHAnsi" w:eastAsia="Calibri" w:hAnsiTheme="majorHAnsi" w:cstheme="majorHAnsi"/>
          <w:i/>
          <w:iCs/>
          <w:sz w:val="24"/>
          <w:szCs w:val="24"/>
        </w:rPr>
        <w:t>(Conformément au référentiel de formation professorat 2</w:t>
      </w:r>
      <w:r>
        <w:rPr>
          <w:rFonts w:asciiTheme="majorHAnsi" w:eastAsia="Calibri" w:hAnsiTheme="majorHAnsi" w:cstheme="majorHAnsi"/>
          <w:i/>
          <w:iCs/>
          <w:sz w:val="24"/>
          <w:szCs w:val="24"/>
          <w:vertAlign w:val="superscript"/>
        </w:rPr>
        <w:t>nd</w:t>
      </w:r>
      <w:r>
        <w:rPr>
          <w:rFonts w:asciiTheme="majorHAnsi" w:eastAsia="Calibri" w:hAnsiTheme="majorHAnsi" w:cstheme="majorHAnsi"/>
          <w:i/>
          <w:iCs/>
          <w:sz w:val="24"/>
          <w:szCs w:val="24"/>
        </w:rPr>
        <w:t xml:space="preserve"> degré et EE)</w:t>
      </w:r>
    </w:p>
    <w:p w14:paraId="12A3A265"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Choisir les modalités d'organisation de la classe favorables à l'engagement de tous les élèves dans les apprentissages</w:t>
      </w:r>
    </w:p>
    <w:p w14:paraId="2A99CA78"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reconnaitre et gérer les émotions des élèves et les sources de tension.</w:t>
      </w:r>
    </w:p>
    <w:p w14:paraId="68F925E6"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mobiliser les principes de gestion de classe en faveur d'un climat de classe serein.</w:t>
      </w:r>
    </w:p>
    <w:p w14:paraId="392FCD42"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Savoir mobiliser ses connaissances sur les CPS et les fonctions cognitives des élèves pour favoriser leur implication dans les apprentissages en classe.</w:t>
      </w:r>
    </w:p>
    <w:p w14:paraId="79E23B9C" w14:textId="77777777" w:rsidR="00F8797D" w:rsidRDefault="00F8797D" w:rsidP="00F8797D">
      <w:pPr>
        <w:ind w:left="360"/>
        <w:jc w:val="both"/>
        <w:rPr>
          <w:rFonts w:asciiTheme="majorHAnsi" w:eastAsia="Calibri" w:hAnsiTheme="majorHAnsi" w:cstheme="majorHAnsi"/>
          <w:sz w:val="24"/>
          <w:szCs w:val="24"/>
        </w:rPr>
      </w:pPr>
    </w:p>
    <w:p w14:paraId="7715B951"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 Assurer la sécurité et le bien-être des élèves</w:t>
      </w:r>
    </w:p>
    <w:p w14:paraId="17735D20"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Prévenir et traiter les situations de violence et de harcèlement.</w:t>
      </w:r>
    </w:p>
    <w:p w14:paraId="3FC8627A"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Gérer les conflits en mobilisant les interlocuteurs pertinents.</w:t>
      </w:r>
    </w:p>
    <w:p w14:paraId="0576B199" w14:textId="77777777" w:rsidR="00F8797D" w:rsidRDefault="00F8797D" w:rsidP="00F8797D">
      <w:pPr>
        <w:ind w:left="360"/>
        <w:jc w:val="both"/>
        <w:rPr>
          <w:rFonts w:asciiTheme="majorHAnsi" w:eastAsia="Calibri" w:hAnsiTheme="majorHAnsi" w:cstheme="majorHAnsi"/>
          <w:sz w:val="24"/>
          <w:szCs w:val="24"/>
        </w:rPr>
      </w:pPr>
      <w:r>
        <w:rPr>
          <w:rFonts w:asciiTheme="majorHAnsi" w:eastAsia="Calibri" w:hAnsiTheme="majorHAnsi" w:cstheme="majorHAnsi"/>
          <w:sz w:val="24"/>
          <w:szCs w:val="24"/>
        </w:rPr>
        <w:t>- Mobiliser des modalités d'organisation de la classe et d'activités renforçant l'estime de soi, le sentiment d'appartenance et le respect mutuel.</w:t>
      </w:r>
    </w:p>
    <w:p w14:paraId="3587F4CD" w14:textId="77777777" w:rsidR="00F8797D" w:rsidRDefault="00F8797D" w:rsidP="00F8797D">
      <w:pPr>
        <w:ind w:left="360"/>
        <w:jc w:val="both"/>
        <w:rPr>
          <w:rFonts w:asciiTheme="majorHAnsi" w:eastAsia="Calibri" w:hAnsiTheme="majorHAnsi" w:cstheme="majorHAnsi"/>
          <w:sz w:val="24"/>
          <w:szCs w:val="24"/>
        </w:rPr>
      </w:pPr>
    </w:p>
    <w:p w14:paraId="3BC73B7B" w14:textId="77777777" w:rsidR="00F8797D" w:rsidRDefault="00F8797D" w:rsidP="00F8797D">
      <w:pPr>
        <w:pStyle w:val="Paragraphedeliste"/>
        <w:numPr>
          <w:ilvl w:val="0"/>
          <w:numId w:val="2"/>
        </w:numPr>
        <w:rPr>
          <w:rFonts w:asciiTheme="majorHAnsi" w:eastAsia="Arial" w:hAnsiTheme="majorHAnsi" w:cstheme="majorHAnsi"/>
          <w:b/>
          <w:bCs/>
          <w:sz w:val="24"/>
          <w:szCs w:val="24"/>
        </w:rPr>
      </w:pPr>
      <w:r>
        <w:rPr>
          <w:rFonts w:asciiTheme="majorHAnsi" w:hAnsiTheme="majorHAnsi" w:cstheme="majorHAnsi"/>
          <w:b/>
          <w:bCs/>
          <w:sz w:val="24"/>
          <w:szCs w:val="24"/>
        </w:rPr>
        <w:t>Description et contenus</w:t>
      </w:r>
    </w:p>
    <w:p w14:paraId="6541C3CF" w14:textId="77777777" w:rsidR="00F8797D" w:rsidRDefault="00F8797D" w:rsidP="00F8797D">
      <w:pPr>
        <w:pStyle w:val="Paragraphedeliste"/>
        <w:rPr>
          <w:rFonts w:asciiTheme="majorHAnsi" w:eastAsia="Arial" w:hAnsiTheme="majorHAnsi" w:cstheme="majorHAnsi"/>
          <w:b/>
          <w:bCs/>
          <w:sz w:val="24"/>
          <w:szCs w:val="24"/>
        </w:rPr>
      </w:pPr>
    </w:p>
    <w:p w14:paraId="2701CC25"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sz w:val="24"/>
          <w:szCs w:val="24"/>
        </w:rPr>
        <w:t>Destinée aux professeurs stagiaires du second degré ainsi qu'aux conseillers principaux d'éducation stagiaires, cette unité d'enseignement s'articule autour de deux volets complémentaires visant à développer les compétences professionnelles liées au bien-être des élèves et à la qualité du climat scolaire.</w:t>
      </w:r>
    </w:p>
    <w:p w14:paraId="0B016928" w14:textId="77777777" w:rsidR="00F8797D" w:rsidRDefault="00F8797D" w:rsidP="00F8797D">
      <w:pPr>
        <w:jc w:val="both"/>
        <w:rPr>
          <w:rFonts w:asciiTheme="majorHAnsi" w:eastAsia="Arial" w:hAnsiTheme="majorHAnsi" w:cstheme="majorHAnsi"/>
          <w:sz w:val="24"/>
          <w:szCs w:val="24"/>
        </w:rPr>
      </w:pPr>
    </w:p>
    <w:p w14:paraId="502BE278"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b/>
          <w:bCs/>
          <w:sz w:val="24"/>
          <w:szCs w:val="24"/>
        </w:rPr>
        <w:t>Le premier volet</w:t>
      </w:r>
      <w:r>
        <w:rPr>
          <w:rFonts w:asciiTheme="majorHAnsi" w:eastAsia="Arial" w:hAnsiTheme="majorHAnsi" w:cstheme="majorHAnsi"/>
          <w:sz w:val="24"/>
          <w:szCs w:val="24"/>
        </w:rPr>
        <w:t xml:space="preserve">, conduit en partenariat avec les formateurs de l'École Académique de Formation Continue (EAFC), est dédié à la gestion explicite des comportements en classe. En trois séances (9 heures au total), les stagiaires y acquièrent des outils concrets pour instaurer un cadre propice aux apprentissages : reconnaissance et régulation des émotions des élèves, </w:t>
      </w:r>
      <w:r>
        <w:rPr>
          <w:rFonts w:asciiTheme="majorHAnsi" w:eastAsia="Arial" w:hAnsiTheme="majorHAnsi" w:cstheme="majorHAnsi"/>
          <w:sz w:val="24"/>
          <w:szCs w:val="24"/>
        </w:rPr>
        <w:lastRenderedPageBreak/>
        <w:t>mobilisation des compétences psychosociales (CPS) au service d'un climat de classe serein. Une place significative est également accordée à la gestion des conflits, en apprenant à identifier les situations de tension et à y répondre de manière adaptée, en mobilisant les interlocuteurs pertinents au sein de la communauté éducative.</w:t>
      </w:r>
    </w:p>
    <w:p w14:paraId="3E9C059D" w14:textId="77777777" w:rsidR="00F8797D" w:rsidRDefault="00F8797D" w:rsidP="00F8797D">
      <w:pPr>
        <w:jc w:val="both"/>
        <w:rPr>
          <w:rFonts w:asciiTheme="majorHAnsi" w:eastAsia="Arial" w:hAnsiTheme="majorHAnsi" w:cstheme="majorHAnsi"/>
          <w:sz w:val="24"/>
          <w:szCs w:val="24"/>
        </w:rPr>
      </w:pPr>
    </w:p>
    <w:p w14:paraId="029020B8" w14:textId="77777777" w:rsidR="00F8797D" w:rsidRDefault="00F8797D" w:rsidP="00F8797D">
      <w:pPr>
        <w:jc w:val="both"/>
        <w:rPr>
          <w:rFonts w:asciiTheme="majorHAnsi" w:eastAsia="Arial" w:hAnsiTheme="majorHAnsi" w:cstheme="majorHAnsi"/>
          <w:sz w:val="24"/>
          <w:szCs w:val="24"/>
        </w:rPr>
      </w:pPr>
    </w:p>
    <w:p w14:paraId="6E43EDA9"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b/>
          <w:bCs/>
          <w:sz w:val="24"/>
          <w:szCs w:val="24"/>
        </w:rPr>
        <w:t>Le second volet</w:t>
      </w:r>
      <w:r>
        <w:rPr>
          <w:rFonts w:asciiTheme="majorHAnsi" w:eastAsia="Arial" w:hAnsiTheme="majorHAnsi" w:cstheme="majorHAnsi"/>
          <w:sz w:val="24"/>
          <w:szCs w:val="24"/>
        </w:rPr>
        <w:t>, assuré par les formateurs de l'</w:t>
      </w:r>
      <w:proofErr w:type="spellStart"/>
      <w:r>
        <w:rPr>
          <w:rFonts w:asciiTheme="majorHAnsi" w:eastAsia="Arial" w:hAnsiTheme="majorHAnsi" w:cstheme="majorHAnsi"/>
          <w:sz w:val="24"/>
          <w:szCs w:val="24"/>
        </w:rPr>
        <w:t>Inspé</w:t>
      </w:r>
      <w:proofErr w:type="spellEnd"/>
      <w:r>
        <w:rPr>
          <w:rFonts w:asciiTheme="majorHAnsi" w:eastAsia="Arial" w:hAnsiTheme="majorHAnsi" w:cstheme="majorHAnsi"/>
          <w:sz w:val="24"/>
          <w:szCs w:val="24"/>
        </w:rPr>
        <w:t xml:space="preserve"> de Paris (6 heures), est consacré aux enjeux de l'accessibilité et de l'inclusion scolaire. Il s'agit d'outiller les professeurs stagiaires et les conseillers principaux d'éducation stagiaires pour concevoir des situations d'apprentissage tenant compte de la diversité des élèves et favorisant la participation de chacun, quels que soient ses besoins spécifiques. Une attention particulière est portée à la prévention et au traitement du harcèlement sous toutes ses formes, dans une perspective de construction d'un environnement scolaire sécurisant et bienveillant pour tous les élèves.</w:t>
      </w:r>
    </w:p>
    <w:p w14:paraId="3F015CCA"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CM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 accessibilité scolaire et qualité du climat scolaire (forme scolaire, CPS, etc.)</w:t>
      </w:r>
    </w:p>
    <w:p w14:paraId="32518D9F" w14:textId="77777777" w:rsidR="00F8797D" w:rsidRDefault="00F8797D" w:rsidP="00F8797D">
      <w:pPr>
        <w:ind w:left="720"/>
        <w:jc w:val="both"/>
        <w:rPr>
          <w:rFonts w:asciiTheme="majorHAnsi" w:eastAsia="Arial" w:hAnsiTheme="majorHAnsi" w:cstheme="majorHAnsi"/>
          <w:sz w:val="24"/>
          <w:szCs w:val="24"/>
        </w:rPr>
      </w:pPr>
      <w:r>
        <w:rPr>
          <w:rFonts w:asciiTheme="majorHAnsi" w:eastAsia="Arial" w:hAnsiTheme="majorHAnsi" w:cstheme="majorHAnsi"/>
          <w:sz w:val="24"/>
          <w:szCs w:val="24"/>
        </w:rPr>
        <w:t>-          Rendre explicites les comportements attendus</w:t>
      </w:r>
    </w:p>
    <w:p w14:paraId="7DB2D73D"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TD spécifique (</w:t>
      </w:r>
      <w:proofErr w:type="spellStart"/>
      <w:r>
        <w:rPr>
          <w:rFonts w:asciiTheme="majorHAnsi" w:eastAsia="Arial" w:hAnsiTheme="majorHAnsi" w:cstheme="majorHAnsi"/>
          <w:sz w:val="24"/>
          <w:szCs w:val="24"/>
        </w:rPr>
        <w:t>dépÉI</w:t>
      </w:r>
      <w:proofErr w:type="spellEnd"/>
      <w:r>
        <w:rPr>
          <w:rFonts w:asciiTheme="majorHAnsi" w:eastAsia="Arial" w:hAnsiTheme="majorHAnsi" w:cstheme="majorHAnsi"/>
          <w:sz w:val="24"/>
          <w:szCs w:val="24"/>
        </w:rPr>
        <w:t>) : Imaginons notre établissement scolaire inclusive pour renforcer la qualité du climat scolaire (travail en équipe, partenariat)</w:t>
      </w:r>
    </w:p>
    <w:p w14:paraId="50F82E21" w14:textId="77777777" w:rsidR="00F8797D" w:rsidRDefault="00F8797D" w:rsidP="00F8797D">
      <w:pPr>
        <w:jc w:val="both"/>
        <w:rPr>
          <w:rFonts w:asciiTheme="majorHAnsi" w:eastAsia="Arial" w:hAnsiTheme="majorHAnsi" w:cstheme="majorHAnsi"/>
          <w:sz w:val="24"/>
          <w:szCs w:val="24"/>
        </w:rPr>
      </w:pPr>
    </w:p>
    <w:p w14:paraId="5C0E8247"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sz w:val="24"/>
          <w:szCs w:val="24"/>
        </w:rPr>
        <w:t>Progression indicative :</w:t>
      </w:r>
    </w:p>
    <w:tbl>
      <w:tblPr>
        <w:tblW w:w="0" w:type="auto"/>
        <w:tblLayout w:type="fixed"/>
        <w:tblLook w:val="04A0" w:firstRow="1" w:lastRow="0" w:firstColumn="1" w:lastColumn="0" w:noHBand="0" w:noVBand="1"/>
      </w:tblPr>
      <w:tblGrid>
        <w:gridCol w:w="809"/>
        <w:gridCol w:w="1182"/>
        <w:gridCol w:w="992"/>
        <w:gridCol w:w="3725"/>
        <w:gridCol w:w="2370"/>
      </w:tblGrid>
      <w:tr w:rsidR="00F8797D" w14:paraId="385D56BF" w14:textId="77777777" w:rsidTr="00F8797D">
        <w:trPr>
          <w:trHeight w:val="330"/>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3A8B2EA"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69E47BAB"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Période</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D6945F4"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Durée</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AADA4FD"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Thématique</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29F67CA"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Formateurs</w:t>
            </w:r>
          </w:p>
        </w:tc>
      </w:tr>
      <w:tr w:rsidR="00F8797D" w14:paraId="00A62E14" w14:textId="77777777" w:rsidTr="00F8797D">
        <w:trPr>
          <w:trHeight w:val="615"/>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6FD5B73A"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 1</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4E314BE"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Septembre</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69FB3C9"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CM</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7C0FC1C"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Gestion explicite des comportements</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194B30F"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EAFC</w:t>
            </w:r>
          </w:p>
        </w:tc>
      </w:tr>
      <w:tr w:rsidR="00F8797D" w14:paraId="1E98BB88" w14:textId="77777777" w:rsidTr="00F8797D">
        <w:trPr>
          <w:trHeight w:val="615"/>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24270C3"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 2</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9ECA4DC"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Septembre</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167D5DDB"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TD</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62866230"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Gestion explicite des comportements</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5871BE27"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EAFC</w:t>
            </w:r>
          </w:p>
        </w:tc>
      </w:tr>
      <w:tr w:rsidR="00F8797D" w14:paraId="0817E7C7" w14:textId="77777777" w:rsidTr="00F8797D">
        <w:trPr>
          <w:trHeight w:val="615"/>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645F1051"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 3</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2E01F14F"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Novembre</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1B931D2C"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CM</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75D2E0AC"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Accessibilité scolaire et qualité du climat scolaire</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36020F76" w14:textId="77777777" w:rsidR="00F8797D" w:rsidRDefault="00F8797D">
            <w:pPr>
              <w:jc w:val="both"/>
              <w:rPr>
                <w:rFonts w:asciiTheme="majorHAnsi" w:eastAsia="Arial" w:hAnsiTheme="majorHAnsi" w:cstheme="majorHAnsi"/>
                <w:sz w:val="24"/>
                <w:szCs w:val="24"/>
              </w:rPr>
            </w:pPr>
            <w:proofErr w:type="spellStart"/>
            <w:r>
              <w:rPr>
                <w:rFonts w:asciiTheme="majorHAnsi" w:eastAsia="Arial" w:hAnsiTheme="majorHAnsi" w:cstheme="majorHAnsi"/>
                <w:sz w:val="24"/>
                <w:szCs w:val="24"/>
              </w:rPr>
              <w:t>Inspé</w:t>
            </w:r>
            <w:proofErr w:type="spellEnd"/>
            <w:r>
              <w:rPr>
                <w:rFonts w:asciiTheme="majorHAnsi" w:eastAsia="Arial" w:hAnsiTheme="majorHAnsi" w:cstheme="majorHAnsi"/>
                <w:sz w:val="24"/>
                <w:szCs w:val="24"/>
              </w:rPr>
              <w:t xml:space="preserve"> de Paris DEI</w:t>
            </w:r>
          </w:p>
        </w:tc>
      </w:tr>
      <w:tr w:rsidR="00F8797D" w14:paraId="102703D7" w14:textId="77777777" w:rsidTr="00F8797D">
        <w:trPr>
          <w:trHeight w:val="615"/>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182382D4"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 4</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255EC813"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Décembre</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02E3833"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TD</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82ED850"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Gestion explicite des comportements</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82D6275"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EAFC</w:t>
            </w:r>
          </w:p>
        </w:tc>
      </w:tr>
      <w:tr w:rsidR="00F8797D" w14:paraId="3A7C534A" w14:textId="77777777" w:rsidTr="00F8797D">
        <w:trPr>
          <w:trHeight w:val="615"/>
        </w:trPr>
        <w:tc>
          <w:tcPr>
            <w:tcW w:w="809"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43CB00B5"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Séance 5</w:t>
            </w:r>
          </w:p>
        </w:tc>
        <w:tc>
          <w:tcPr>
            <w:tcW w:w="118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5DE70308"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Janvier</w:t>
            </w:r>
          </w:p>
        </w:tc>
        <w:tc>
          <w:tcPr>
            <w:tcW w:w="99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26C3D9A"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3h TD</w:t>
            </w:r>
          </w:p>
        </w:tc>
        <w:tc>
          <w:tcPr>
            <w:tcW w:w="372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0D83DB72" w14:textId="77777777" w:rsidR="00F8797D" w:rsidRDefault="00F8797D">
            <w:pPr>
              <w:jc w:val="both"/>
              <w:rPr>
                <w:rFonts w:asciiTheme="majorHAnsi" w:eastAsia="Arial" w:hAnsiTheme="majorHAnsi" w:cstheme="majorHAnsi"/>
                <w:sz w:val="24"/>
                <w:szCs w:val="24"/>
              </w:rPr>
            </w:pPr>
            <w:r>
              <w:rPr>
                <w:rFonts w:asciiTheme="majorHAnsi" w:eastAsia="Arial" w:hAnsiTheme="majorHAnsi" w:cstheme="majorHAnsi"/>
                <w:sz w:val="24"/>
                <w:szCs w:val="24"/>
              </w:rPr>
              <w:t>Inclusion scolaire dans le projet d’établissement</w:t>
            </w:r>
          </w:p>
        </w:tc>
        <w:tc>
          <w:tcPr>
            <w:tcW w:w="2370"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14:paraId="1686551F" w14:textId="77777777" w:rsidR="00F8797D" w:rsidRDefault="00F8797D">
            <w:pPr>
              <w:jc w:val="both"/>
              <w:rPr>
                <w:rFonts w:asciiTheme="majorHAnsi" w:eastAsia="Arial" w:hAnsiTheme="majorHAnsi" w:cstheme="majorHAnsi"/>
                <w:sz w:val="24"/>
                <w:szCs w:val="24"/>
              </w:rPr>
            </w:pPr>
            <w:proofErr w:type="spellStart"/>
            <w:r>
              <w:rPr>
                <w:rFonts w:asciiTheme="majorHAnsi" w:eastAsia="Arial" w:hAnsiTheme="majorHAnsi" w:cstheme="majorHAnsi"/>
                <w:sz w:val="24"/>
                <w:szCs w:val="24"/>
              </w:rPr>
              <w:t>Inspé</w:t>
            </w:r>
            <w:proofErr w:type="spellEnd"/>
            <w:r>
              <w:rPr>
                <w:rFonts w:asciiTheme="majorHAnsi" w:eastAsia="Arial" w:hAnsiTheme="majorHAnsi" w:cstheme="majorHAnsi"/>
                <w:sz w:val="24"/>
                <w:szCs w:val="24"/>
              </w:rPr>
              <w:t xml:space="preserve"> de Paris EI</w:t>
            </w:r>
          </w:p>
        </w:tc>
      </w:tr>
    </w:tbl>
    <w:p w14:paraId="4E940D3B" w14:textId="77777777" w:rsidR="00F8797D" w:rsidRDefault="00F8797D" w:rsidP="00F8797D">
      <w:pPr>
        <w:jc w:val="both"/>
        <w:rPr>
          <w:rFonts w:asciiTheme="majorHAnsi" w:eastAsia="Arial" w:hAnsiTheme="majorHAnsi" w:cstheme="majorHAnsi"/>
          <w:sz w:val="24"/>
          <w:szCs w:val="24"/>
        </w:rPr>
      </w:pPr>
    </w:p>
    <w:p w14:paraId="20CC77FD" w14:textId="77777777" w:rsidR="00F8797D" w:rsidRDefault="00F8797D" w:rsidP="00F8797D">
      <w:pPr>
        <w:jc w:val="both"/>
        <w:rPr>
          <w:rFonts w:asciiTheme="majorHAnsi" w:eastAsia="Arial" w:hAnsiTheme="majorHAnsi" w:cstheme="majorHAnsi"/>
          <w:sz w:val="24"/>
          <w:szCs w:val="24"/>
        </w:rPr>
      </w:pPr>
      <w:r>
        <w:rPr>
          <w:rFonts w:asciiTheme="majorHAnsi" w:eastAsia="Arial" w:hAnsiTheme="majorHAnsi" w:cstheme="majorHAnsi"/>
          <w:sz w:val="24"/>
          <w:szCs w:val="24"/>
        </w:rPr>
        <w:t>Évaluation : L'évaluation de cet enseignement repose sur l'assiduité des élèves fonctionnaires et des conseillers principaux d'éducation stagiaires à l'ensemble des séances de formation. La présence à la totalité des séances constitue le critère d'évaluation retenu.</w:t>
      </w:r>
    </w:p>
    <w:p w14:paraId="5F23D96F" w14:textId="77777777" w:rsidR="00F8797D" w:rsidRDefault="00F8797D" w:rsidP="00F8797D">
      <w:pPr>
        <w:jc w:val="both"/>
        <w:rPr>
          <w:rFonts w:asciiTheme="majorHAnsi" w:eastAsia="Arial" w:hAnsiTheme="majorHAnsi" w:cstheme="majorHAnsi"/>
          <w:b/>
          <w:bCs/>
          <w:sz w:val="28"/>
          <w:szCs w:val="28"/>
        </w:rPr>
      </w:pPr>
    </w:p>
    <w:p w14:paraId="7D595DD3" w14:textId="77777777" w:rsidR="00F8797D" w:rsidRDefault="00F8797D" w:rsidP="00F8797D">
      <w:pPr>
        <w:jc w:val="both"/>
        <w:rPr>
          <w:rFonts w:asciiTheme="majorHAnsi" w:eastAsia="Arial" w:hAnsiTheme="majorHAnsi" w:cstheme="majorHAnsi"/>
          <w:b/>
          <w:bCs/>
          <w:sz w:val="28"/>
          <w:szCs w:val="28"/>
        </w:rPr>
      </w:pPr>
    </w:p>
    <w:p w14:paraId="4BA9418B" w14:textId="77777777" w:rsidR="00E465A5" w:rsidRDefault="00E465A5"/>
    <w:sectPr w:rsidR="00E46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D6DA0"/>
    <w:multiLevelType w:val="hybridMultilevel"/>
    <w:tmpl w:val="D3002E12"/>
    <w:lvl w:ilvl="0" w:tplc="DA22E9A4">
      <w:numFmt w:val="bullet"/>
      <w:lvlText w:val=""/>
      <w:lvlJc w:val="left"/>
      <w:pPr>
        <w:ind w:left="720" w:hanging="360"/>
      </w:pPr>
      <w:rPr>
        <w:rFonts w:ascii="Wingdings" w:eastAsia="Calibr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23116C2"/>
    <w:multiLevelType w:val="hybridMultilevel"/>
    <w:tmpl w:val="7DF6A9E2"/>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4B9"/>
    <w:rsid w:val="004354B9"/>
    <w:rsid w:val="00E465A5"/>
    <w:rsid w:val="00F879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20E32-E902-4C83-9582-562237FED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97D"/>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F8797D"/>
    <w:pPr>
      <w:ind w:left="720"/>
      <w:jc w:val="both"/>
    </w:pPr>
    <w:rPr>
      <w:rFonts w:ascii="Century Gothic" w:eastAsia="Calibri" w:hAnsi="Century Gothic" w:cs="Century Gothic"/>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80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3758</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2026-09-04T07:03:00Z</dcterms:created>
  <dcterms:modified xsi:type="dcterms:W3CDTF">2026-09-04T07:03:00Z</dcterms:modified>
</cp:coreProperties>
</file>