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914400" cy="255613"/>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914400" cy="255613"/>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19050</wp:posOffset>
            </wp:positionV>
            <wp:extent cx="1179576" cy="1581912"/>
            <wp:effectExtent b="0" l="0" r="0" t="0"/>
            <wp:wrapSquare wrapText="right" distB="19050" distT="19050" distL="19050" distR="1905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179576" cy="1581912"/>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Open Sans" w:cs="Open Sans" w:eastAsia="Open Sans" w:hAnsi="Open Sans"/>
          <w:b w:val="1"/>
          <w:bCs w:val="1"/>
          <w:i w:val="0"/>
          <w:iCs w:val="0"/>
          <w:smallCaps w:val="0"/>
          <w:strike w:val="0"/>
          <w:color w:val="000000"/>
          <w:sz w:val="30"/>
          <w:szCs w:val="3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30"/>
          <w:szCs w:val="30"/>
          <w:u w:val="none"/>
          <w:shd w:fill="auto" w:val="clear"/>
          <w:vertAlign w:val="baseline"/>
          <w:rtl w:val="0"/>
        </w:rPr>
        <w:t xml:space="preserve">Revue européenne de l'éducation spécialisée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579345703125" w:line="199.92000102996826" w:lineRule="auto"/>
        <w:ind w:left="0" w:right="0" w:firstLine="0"/>
        <w:jc w:val="left"/>
        <w:rPr>
          <w:rFonts w:ascii="Open Sans" w:cs="Open Sans" w:eastAsia="Open Sans" w:hAnsi="Open Sans"/>
          <w:b w:val="1"/>
          <w:bCs w:val="1"/>
          <w:i w:val="0"/>
          <w:iCs w:val="0"/>
          <w:smallCaps w:val="0"/>
          <w:strike w:val="0"/>
          <w:color w:val="000000"/>
          <w:sz w:val="16"/>
          <w:szCs w:val="16"/>
          <w:u w:val="singl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16"/>
          <w:szCs w:val="16"/>
          <w:u w:val="none"/>
          <w:shd w:fill="auto" w:val="clear"/>
          <w:vertAlign w:val="baseline"/>
          <w:rtl w:val="0"/>
        </w:rPr>
        <w:t xml:space="preserve">ISSN : 0885-6257 (imprimé) 1469-591X (en ligne) Page d’accueil de la revue :</w:t>
      </w:r>
      <w:r w:rsidDel="00000000" w:rsidR="00000000" w:rsidRPr="00000000">
        <w:rPr>
          <w:rFonts w:ascii="Open Sans" w:cs="Open Sans" w:eastAsia="Open Sans" w:hAnsi="Open Sans"/>
          <w:b w:val="1"/>
          <w:bCs w:val="1"/>
          <w:i w:val="0"/>
          <w:iCs w:val="0"/>
          <w:smallCaps w:val="0"/>
          <w:strike w:val="0"/>
          <w:color w:val="000000"/>
          <w:sz w:val="16"/>
          <w:szCs w:val="16"/>
          <w:u w:val="single"/>
          <w:shd w:fill="auto" w:val="clear"/>
          <w:vertAlign w:val="baseline"/>
          <w:rtl w:val="0"/>
        </w:rPr>
        <w:t xml:space="preserve">www.tandfonline.com/journals/rejs20</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02001953125" w:line="233.23998928070068" w:lineRule="auto"/>
        <w:ind w:left="0" w:right="0" w:firstLine="0"/>
        <w:jc w:val="left"/>
        <w:rPr>
          <w:rFonts w:ascii="Noto Sans" w:cs="Noto Sans" w:eastAsia="Noto Sans" w:hAnsi="Noto Sans"/>
          <w:b w:val="1"/>
          <w:bCs w:val="1"/>
          <w:i w:val="0"/>
          <w:iCs w:val="0"/>
          <w:smallCaps w:val="0"/>
          <w:strike w:val="0"/>
          <w:color w:val="000000"/>
          <w:sz w:val="36"/>
          <w:szCs w:val="36"/>
          <w:u w:val="none"/>
          <w:shd w:fill="auto" w:val="clear"/>
          <w:vertAlign w:val="baseline"/>
        </w:rPr>
      </w:pPr>
      <w:r w:rsidDel="00000000" w:rsidR="00000000" w:rsidRPr="00000000">
        <w:rPr>
          <w:rFonts w:ascii="Noto Sans" w:cs="Noto Sans" w:eastAsia="Noto Sans" w:hAnsi="Noto Sans"/>
          <w:b w:val="1"/>
          <w:bCs w:val="1"/>
          <w:i w:val="0"/>
          <w:iCs w:val="0"/>
          <w:smallCaps w:val="0"/>
          <w:strike w:val="0"/>
          <w:color w:val="000000"/>
          <w:sz w:val="36"/>
          <w:szCs w:val="36"/>
          <w:u w:val="none"/>
          <w:shd w:fill="auto" w:val="clear"/>
          <w:vertAlign w:val="baseline"/>
          <w:rtl w:val="0"/>
        </w:rPr>
        <w:t xml:space="preserve">Une revue systématique des interventions en mathématiques auprès des élèves du primaire présentant une déficience intellectuelle</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8.699951171875" w:line="199.92000102996826" w:lineRule="auto"/>
        <w:ind w:left="0" w:right="0" w:firstLine="0"/>
        <w:jc w:val="left"/>
        <w:rPr>
          <w:rFonts w:ascii="Open Sans" w:cs="Open Sans" w:eastAsia="Open Sans" w:hAnsi="Open Sans"/>
          <w:b w:val="1"/>
          <w:bCs w:val="1"/>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4"/>
          <w:szCs w:val="24"/>
          <w:u w:val="none"/>
          <w:shd w:fill="auto" w:val="clear"/>
          <w:vertAlign w:val="baseline"/>
          <w:rtl w:val="0"/>
        </w:rPr>
        <w:t xml:space="preserve">Susanne Schnepel &amp; Pirjo Aunio</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539794921875" w:line="239.9040126800537" w:lineRule="auto"/>
        <w:ind w:left="0" w:right="0" w:firstLine="0"/>
        <w:jc w:val="left"/>
        <w:rPr>
          <w:rFonts w:ascii="Open Sans" w:cs="Open Sans" w:eastAsia="Open Sans" w:hAnsi="Open Sans"/>
          <w:b w:val="0"/>
          <w:bCs w:val="0"/>
          <w:i w:val="0"/>
          <w:iCs w:val="0"/>
          <w:smallCaps w:val="0"/>
          <w:strike w:val="0"/>
          <w:color w:val="000000"/>
          <w:sz w:val="20"/>
          <w:szCs w:val="20"/>
          <w:u w:val="singl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Pour citer cet article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Susanne Schnepel et Pirjo Aunio (2022) Une revue systématique des interventions en mathématiques pour les élèves du primaire présentant une déficience intellectuelle, European Journal of Special Needs Education, 37:4, 663-678, DOI :</w:t>
      </w:r>
      <w:r w:rsidDel="00000000" w:rsidR="00000000" w:rsidRPr="00000000">
        <w:rPr>
          <w:rFonts w:ascii="Open Sans" w:cs="Open Sans" w:eastAsia="Open Sans" w:hAnsi="Open Sans"/>
          <w:b w:val="0"/>
          <w:bCs w:val="0"/>
          <w:i w:val="0"/>
          <w:iCs w:val="0"/>
          <w:smallCaps w:val="0"/>
          <w:strike w:val="0"/>
          <w:color w:val="000000"/>
          <w:sz w:val="20"/>
          <w:szCs w:val="20"/>
          <w:u w:val="single"/>
          <w:shd w:fill="auto" w:val="clear"/>
          <w:vertAlign w:val="baseline"/>
          <w:rtl w:val="0"/>
        </w:rPr>
        <w:t xml:space="preserve">10.1080/08856257.2021.1943268</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6802978515625" w:line="199.92000102996826"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Pour créer un lien vers cet article :</w:t>
      </w:r>
      <w:r w:rsidDel="00000000" w:rsidR="00000000" w:rsidRPr="00000000">
        <w:rPr>
          <w:rFonts w:ascii="Open Sans" w:cs="Open Sans" w:eastAsia="Open Sans" w:hAnsi="Open Sans"/>
          <w:b w:val="0"/>
          <w:bCs w:val="0"/>
          <w:i w:val="0"/>
          <w:iCs w:val="0"/>
          <w:smallCaps w:val="0"/>
          <w:strike w:val="0"/>
          <w:color w:val="000000"/>
          <w:sz w:val="20"/>
          <w:szCs w:val="20"/>
          <w:u w:val="single"/>
          <w:shd w:fill="auto" w:val="clear"/>
          <w:vertAlign w:val="baseline"/>
          <w:rtl w:val="0"/>
        </w:rPr>
        <w:t xml:space="preserve">https://doi.org/10.1080/08856257.2021.1943268</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1.399536132812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 2021 Les auteurs. Publié par Informa</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-23253</wp:posOffset>
            </wp:positionV>
            <wp:extent cx="138176" cy="232601"/>
            <wp:effectExtent b="0" l="0" r="0" t="0"/>
            <wp:wrapSquare wrapText="right" distB="19050" distT="19050" distL="19050" distR="19050"/>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38176" cy="232601"/>
                    </a:xfrm>
                    <a:prstGeom prst="rect"/>
                    <a:ln/>
                  </pic:spPr>
                </pic:pic>
              </a:graphicData>
            </a:graphic>
          </wp:anchor>
        </w:drawing>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Royaume-Uni Limited, exerçant ses activités sous le nom de Taylor &amp; Francis</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Groupe.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320190429687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01168" cy="235699"/>
            <wp:effectExtent b="0" l="0" r="0" t="0"/>
            <wp:docPr id="1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01168" cy="235699"/>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Consultez les documents complémentaires</w:t>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165100" cy="111570"/>
            <wp:effectExtent b="0" l="0" r="0" t="0"/>
            <wp:docPr id="10"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165100" cy="11157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83276367187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10312" cy="224688"/>
            <wp:effectExtent b="0" l="0" r="0" t="0"/>
            <wp:docPr id="1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10312" cy="224688"/>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Publié en ligne : 18 juin 2021.</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5.06958007812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23266" cy="174892"/>
            <wp:effectExtent b="0" l="0" r="0" t="0"/>
            <wp:docPr id="13"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223266" cy="174892"/>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Soumettez votre article à cette revue</w:t>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165100" cy="111570"/>
            <wp:effectExtent b="0" l="0" r="0" t="0"/>
            <wp:docPr id="7"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165100" cy="11157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4.588012695312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56032" cy="191173"/>
            <wp:effectExtent b="0" l="0" r="0" t="0"/>
            <wp:docPr id="5"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256032" cy="191173"/>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Nombre de vues de l'article : 15 642</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6.6625976562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00152" cy="231508"/>
            <wp:effectExtent b="0" l="0" r="0" t="0"/>
            <wp:docPr id="8"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00152" cy="231508"/>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Voir les articles associés</w:t>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165100" cy="111570"/>
            <wp:effectExtent b="0" l="0" r="0" t="0"/>
            <wp:docPr id="4"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165100" cy="11157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34790039062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35712" cy="264782"/>
            <wp:effectExtent b="0" l="0" r="0" t="0"/>
            <wp:docPr id="6"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235712" cy="264782"/>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Afficher les données Crossmark</w:t>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165100" cy="111570"/>
            <wp:effectExtent b="0" l="0" r="0" t="0"/>
            <wp:docPr id="12"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165100" cy="11157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3842773437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223520" cy="223520"/>
            <wp:effectExtent b="0" l="0" r="0" t="0"/>
            <wp:docPr id="14"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223520" cy="223520"/>
                    </a:xfrm>
                    <a:prstGeom prst="rect"/>
                    <a:ln/>
                  </pic:spPr>
                </pic:pic>
              </a:graphicData>
            </a:graphic>
          </wp:inline>
        </w:drawing>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Articles citants : 24 Voir les articles citants</w:t>
      </w: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Pr>
        <w:drawing>
          <wp:inline distB="19050" distT="19050" distL="19050" distR="19050">
            <wp:extent cx="165100" cy="111570"/>
            <wp:effectExtent b="0" l="0" r="0" t="0"/>
            <wp:docPr id="9"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165100" cy="11157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4.6359252929688"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Les conditions générales d'accès et d'utilisation complètes sont disponibles sur</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40032958984375" w:line="199.92000102996826" w:lineRule="auto"/>
        <w:ind w:left="0" w:right="0" w:firstLine="0"/>
        <w:jc w:val="left"/>
        <w:rPr>
          <w:rFonts w:ascii="Open Sans" w:cs="Open Sans" w:eastAsia="Open Sans" w:hAnsi="Open Sans"/>
          <w:b w:val="0"/>
          <w:bCs w:val="0"/>
          <w:i w:val="0"/>
          <w:iCs w:val="0"/>
          <w:smallCaps w:val="0"/>
          <w:strike w:val="0"/>
          <w:color w:val="000000"/>
          <w:sz w:val="18"/>
          <w:szCs w:val="18"/>
          <w:u w:val="none"/>
          <w:shd w:fill="auto" w:val="clear"/>
          <w:vertAlign w:val="baseline"/>
        </w:rPr>
        <w:sectPr>
          <w:pgSz w:h="14040" w:w="9860" w:orient="portrait"/>
          <w:pgMar w:bottom="479.6297073364258" w:top="372.120361328125" w:left="432.00000762939453" w:right="432.000732421875" w:header="0" w:footer="720"/>
          <w:pgNumType w:start="1"/>
        </w:sectPr>
      </w:pPr>
      <w:r w:rsidDel="00000000" w:rsidR="00000000" w:rsidRPr="00000000">
        <w:rPr>
          <w:rFonts w:ascii="Open Sans" w:cs="Open Sans" w:eastAsia="Open Sans" w:hAnsi="Open Sans"/>
          <w:b w:val="0"/>
          <w:bCs w:val="0"/>
          <w:i w:val="0"/>
          <w:iCs w:val="0"/>
          <w:smallCaps w:val="0"/>
          <w:strike w:val="0"/>
          <w:color w:val="000000"/>
          <w:sz w:val="18"/>
          <w:szCs w:val="18"/>
          <w:u w:val="none"/>
          <w:shd w:fill="auto" w:val="clear"/>
          <w:vertAlign w:val="baseline"/>
          <w:rtl w:val="0"/>
        </w:rPr>
        <w:t xml:space="preserve">https://www.tandfonline.com/action/journalInformation?journalCode=rejs20</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8.2718276977539"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DES ENFANTS À BESOINS SPÉCIAUX</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3.771858215332"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2022, VOL. 37, NON. 4, 663-678</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7.8218460083008"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https://doi.org/10.1080/08856257.2021.1943268</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4.854736328125" w:line="228.2882595062256" w:lineRule="auto"/>
        <w:ind w:left="777.7020263671875" w:right="705.3094482421875" w:hanging="4.2000579833984375"/>
        <w:jc w:val="left"/>
        <w:rPr>
          <w:rFonts w:ascii="Arial" w:cs="Arial" w:eastAsia="Arial" w:hAnsi="Arial"/>
          <w:b w:val="1"/>
          <w:bCs w:val="1"/>
          <w:i w:val="0"/>
          <w:iCs w:val="0"/>
          <w:smallCaps w:val="0"/>
          <w:strike w:val="0"/>
          <w:color w:val="5477b3"/>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8"/>
          <w:szCs w:val="28"/>
          <w:u w:val="none"/>
          <w:shd w:fill="auto" w:val="clear"/>
          <w:vertAlign w:val="baseline"/>
          <w:rtl w:val="0"/>
        </w:rPr>
        <w:t xml:space="preserve">Une revue systématique des interventions en mathématiques auprès des élèves du primaire présentant une déficience intellectuelle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07373046875" w:line="240" w:lineRule="auto"/>
        <w:ind w:left="776.4419937133789" w:right="0" w:firstLine="0"/>
        <w:jc w:val="left"/>
        <w:rPr>
          <w:rFonts w:ascii="Arial" w:cs="Arial" w:eastAsia="Arial" w:hAnsi="Arial"/>
          <w:b w:val="0"/>
          <w:bCs w:val="0"/>
          <w:i w:val="0"/>
          <w:iCs w:val="0"/>
          <w:smallCaps w:val="0"/>
          <w:strike w:val="0"/>
          <w:color w:val="000080"/>
          <w:sz w:val="12.76960563659668"/>
          <w:szCs w:val="12.7696056365966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Susanne Schnepel</w:t>
      </w:r>
      <w:r w:rsidDel="00000000" w:rsidR="00000000" w:rsidRPr="00000000">
        <w:rPr>
          <w:rFonts w:ascii="Arial" w:cs="Arial" w:eastAsia="Arial" w:hAnsi="Arial"/>
          <w:b w:val="0"/>
          <w:bCs w:val="0"/>
          <w:i w:val="0"/>
          <w:iCs w:val="0"/>
          <w:smallCaps w:val="0"/>
          <w:strike w:val="0"/>
          <w:color w:val="000080"/>
          <w:sz w:val="21.28267606099447"/>
          <w:szCs w:val="21.28267606099447"/>
          <w:u w:val="none"/>
          <w:shd w:fill="auto" w:val="clear"/>
          <w:vertAlign w:val="superscript"/>
          <w:rtl w:val="0"/>
        </w:rPr>
        <w:t xml:space="preserve">un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et Pirjo Aunio</w:t>
      </w:r>
      <w:r w:rsidDel="00000000" w:rsidR="00000000" w:rsidRPr="00000000">
        <w:rPr>
          <w:rFonts w:ascii="Arial" w:cs="Arial" w:eastAsia="Arial" w:hAnsi="Arial"/>
          <w:b w:val="0"/>
          <w:bCs w:val="0"/>
          <w:i w:val="0"/>
          <w:iCs w:val="0"/>
          <w:smallCaps w:val="0"/>
          <w:strike w:val="0"/>
          <w:color w:val="000080"/>
          <w:sz w:val="21.28267606099447"/>
          <w:szCs w:val="21.28267606099447"/>
          <w:u w:val="none"/>
          <w:shd w:fill="auto" w:val="clear"/>
          <w:vertAlign w:val="superscript"/>
          <w:rtl w:val="0"/>
        </w:rPr>
        <w:t xml:space="preserve">b</w:t>
      </w:r>
      <w:r w:rsidDel="00000000" w:rsidR="00000000" w:rsidRPr="00000000">
        <w:rPr>
          <w:rFonts w:ascii="Arial" w:cs="Arial" w:eastAsia="Arial" w:hAnsi="Arial"/>
          <w:b w:val="0"/>
          <w:bCs w:val="0"/>
          <w:i w:val="0"/>
          <w:iCs w:val="0"/>
          <w:smallCaps w:val="0"/>
          <w:strike w:val="0"/>
          <w:color w:val="000080"/>
          <w:sz w:val="12.76960563659668"/>
          <w:szCs w:val="12.76960563659668"/>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2509765625" w:line="222.8912115097046" w:lineRule="auto"/>
        <w:ind w:left="774.11376953125" w:right="727.9278564453125" w:hanging="2.6161956787109375"/>
        <w:jc w:val="left"/>
        <w:rPr>
          <w:rFonts w:ascii="Arial" w:cs="Arial" w:eastAsia="Arial" w:hAnsi="Arial"/>
          <w:b w:val="0"/>
          <w:bCs w:val="0"/>
          <w:i w:val="0"/>
          <w:iCs w:val="0"/>
          <w:smallCaps w:val="0"/>
          <w:strike w:val="0"/>
          <w:color w:val="000000"/>
          <w:sz w:val="18"/>
          <w:szCs w:val="18"/>
          <w:u w:val="none"/>
          <w:shd w:fill="auto" w:val="clear"/>
          <w:vertAlign w:val="baseline"/>
        </w:rPr>
        <w:sectPr>
          <w:type w:val="continuous"/>
          <w:pgSz w:h="14040" w:w="9860" w:orient="portrait"/>
          <w:pgMar w:bottom="479.6297073364258" w:top="372.120361328125" w:left="432.00000762939453" w:right="432.000732421875" w:header="0" w:footer="720"/>
          <w:cols w:equalWidth="0" w:num="1">
            <w:col w:space="0" w:w="8995.99925994873"/>
          </w:cols>
        </w:sectPr>
      </w:pPr>
      <w:r w:rsidDel="00000000" w:rsidR="00000000" w:rsidRPr="00000000">
        <w:rPr>
          <w:rFonts w:ascii="Arial" w:cs="Arial" w:eastAsia="Arial" w:hAnsi="Arial"/>
          <w:b w:val="0"/>
          <w:bCs w:val="0"/>
          <w:i w:val="0"/>
          <w:iCs w:val="0"/>
          <w:smallCaps w:val="0"/>
          <w:strike w:val="0"/>
          <w:color w:val="000000"/>
          <w:sz w:val="18.453424771626793"/>
          <w:szCs w:val="18.453424771626793"/>
          <w:u w:val="none"/>
          <w:shd w:fill="auto" w:val="clear"/>
          <w:vertAlign w:val="superscript"/>
          <w:rtl w:val="0"/>
        </w:rPr>
        <w:t xml:space="preserve">un</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Institut d'éducation, Université de Zurich, Zurich, Suisse;</w:t>
      </w:r>
      <w:r w:rsidDel="00000000" w:rsidR="00000000" w:rsidRPr="00000000">
        <w:rPr>
          <w:rFonts w:ascii="Arial" w:cs="Arial" w:eastAsia="Arial" w:hAnsi="Arial"/>
          <w:b w:val="0"/>
          <w:bCs w:val="0"/>
          <w:i w:val="0"/>
          <w:iCs w:val="0"/>
          <w:smallCaps w:val="0"/>
          <w:strike w:val="0"/>
          <w:color w:val="000000"/>
          <w:sz w:val="18.453424771626793"/>
          <w:szCs w:val="18.453424771626793"/>
          <w:u w:val="none"/>
          <w:shd w:fill="auto" w:val="clear"/>
          <w:vertAlign w:val="superscript"/>
          <w:rtl w:val="0"/>
        </w:rPr>
        <w:t xml:space="preserve">b</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Faculté des sciences de l'éducation, Université d'Helsinki, Helsinki, Finlande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328857421875" w:line="240" w:lineRule="auto"/>
        <w:ind w:left="0" w:right="0" w:firstLine="0"/>
        <w:jc w:val="left"/>
        <w:rPr>
          <w:rFonts w:ascii="Arial" w:cs="Arial" w:eastAsia="Arial" w:hAnsi="Arial"/>
          <w:b w:val="0"/>
          <w:bCs w:val="0"/>
          <w:i w:val="0"/>
          <w:iCs w:val="0"/>
          <w:smallCaps w:val="0"/>
          <w:strike w:val="0"/>
          <w:color w:val="5477b3"/>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5477b3"/>
          <w:sz w:val="14.999799728393555"/>
          <w:szCs w:val="14.999799728393555"/>
          <w:u w:val="none"/>
          <w:shd w:fill="auto" w:val="clear"/>
          <w:vertAlign w:val="baseline"/>
          <w:rtl w:val="0"/>
        </w:rPr>
        <w:t xml:space="preserve">ABSTRAIT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2.11490154266357"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Cette revue systématique examine les caractéristiques des interventions mathématiques efficaces auprès d'élèves de 5 à 12 ans présentant une déficience intellectuelle (DI), en se concentrant sur l'acquisition précoce des compétences en calcul, en arithmétique et en résolution de problèmes arithmétiques. Vingt études publiées entre 2008 et 2020 ont été analysées : 17 études portaient sur un seul sujet et trois sur une étude comparative de groupes. Ces études incluaient un total de 135 élèves présentant une DI. Conformément aux études précédentes, l'analyse a montré que les interventions reposant sur un enseignement systématique et explicite, avec rétroaction et utilisation de matériel de manipulation, constituent des approches et des stratégies pédagogiques efficaces pour ces élèves. Cette étude révèle que les interventions efficaces sont des séquences d'apprentissage bien structurées et intensives, adaptées au niveau de réussite des élèves. L'intensité d'une intervention nécessite une attention particulière quant au nombre de séances hebdomadaires et à leur durée. Des études complémentaires devraient déterminer la stratégie pédagogique la plus efficace pour chaque type de compétence ainsi que l'intensité optimale des interventions.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1.177978515625" w:line="240" w:lineRule="auto"/>
        <w:ind w:left="0"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Introduction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0.2253866195678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5477b3"/>
          <w:sz w:val="14.999799728393555"/>
          <w:szCs w:val="14.999799728393555"/>
          <w:u w:val="none"/>
          <w:shd w:fill="auto" w:val="clear"/>
          <w:vertAlign w:val="baseline"/>
          <w:rtl w:val="0"/>
        </w:rPr>
        <w:t xml:space="preserve">HISTORIQUE DE L'ARTICLE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Reçu le 3 mars 2021 Accepté le 11 juin 2021</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5416259765625" w:line="240" w:lineRule="auto"/>
        <w:ind w:left="0" w:right="0" w:firstLine="0"/>
        <w:jc w:val="left"/>
        <w:rPr>
          <w:rFonts w:ascii="Arial" w:cs="Arial" w:eastAsia="Arial" w:hAnsi="Arial"/>
          <w:b w:val="0"/>
          <w:bCs w:val="0"/>
          <w:i w:val="0"/>
          <w:iCs w:val="0"/>
          <w:smallCaps w:val="0"/>
          <w:strike w:val="0"/>
          <w:color w:val="5477b3"/>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5477b3"/>
          <w:sz w:val="14.999799728393555"/>
          <w:szCs w:val="14.999799728393555"/>
          <w:u w:val="none"/>
          <w:shd w:fill="auto" w:val="clear"/>
          <w:vertAlign w:val="baseline"/>
          <w:rtl w:val="0"/>
        </w:rPr>
        <w:t xml:space="preserve">MOTS-CLÉS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0.3591394424438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sectPr>
          <w:type w:val="continuous"/>
          <w:pgSz w:h="14040" w:w="9860" w:orient="portrait"/>
          <w:pgMar w:bottom="479.6297073364258" w:top="372.120361328125" w:left="1214.142074584961" w:right="1423.2440185546875" w:header="0" w:footer="720"/>
          <w:cols w:equalWidth="0" w:num="2">
            <w:col w:space="0" w:w="3620"/>
            <w:col w:space="0" w:w="3620"/>
          </w:cols>
        </w:sectPr>
      </w:pP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Revue systématique ; enseignement des mathématiques ; déficience intellectuelle ; numératie ; études d’intervention ; intensité de l’intervention</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7.093505859375" w:line="259.9226474761963" w:lineRule="auto"/>
        <w:ind w:left="775.2220153808594" w:right="720.1171875" w:firstLine="4.000015258789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compétences mathématiques sont importantes pour l'apprentissage scolaire et nécessaires à la réalisation des tâches routinières de la vie quotidienne, comme faire les courses, cuisiner et gérer son temps (Faragher et Brown).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compétences de base en calcul et en arithmétique sont particulièrement importantes pour favoriser la participation sociale et l'autonomie des enfants et des adultes présentant une déficience intellectuelle (Faragher et Brown).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Spooner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Un bon sens des nombres dans les premières années est un indicateur fiable de l'acquisition de compétences mathématiques ultérieures importantes dans la vie quotidienne (Jordan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789794921875" w:line="259.9259948730469" w:lineRule="auto"/>
        <w:ind w:left="771.221923828125" w:right="720.076904296875" w:firstLine="245.159988403320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élèves ayant une déficience intellectuelle sont capables d’acquérir des compétences mathématiques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Citrons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leur développement numérique ne diffère pas fondamentalement de celui des élèves au développement typique (Baroody)</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1999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Brankaer, Ghesquière et de Smedt</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Cependant, leurs compétences dépassent rarement le niveau de calcul de base et ils ont besoin de plus de temps et de répétition pour apprendre les concepts mathématiques (Faragher et Clarke).</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plupart des élèves présentant une déficience intellectuelle manifestent des limitations importantes tant au niveau des fonctions intellectuelles que du comportement adaptatif (Association américaine de psychiatrie).</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Différences dans le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39312744140625" w:line="240" w:lineRule="auto"/>
        <w:ind w:left="773.2218551635742" w:right="0" w:firstLine="0"/>
        <w:jc w:val="left"/>
        <w:rPr>
          <w:rFonts w:ascii="Arial" w:cs="Arial" w:eastAsia="Arial" w:hAnsi="Arial"/>
          <w:b w:val="0"/>
          <w:bCs w:val="0"/>
          <w:i w:val="0"/>
          <w:iCs w:val="0"/>
          <w:smallCaps w:val="0"/>
          <w:strike w:val="0"/>
          <w:color w:val="000080"/>
          <w:sz w:val="15.999799728393555"/>
          <w:szCs w:val="15.99979972839355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15.999799728393555"/>
          <w:szCs w:val="15.999799728393555"/>
          <w:u w:val="none"/>
          <w:shd w:fill="auto" w:val="clear"/>
          <w:vertAlign w:val="baseline"/>
          <w:rtl w:val="0"/>
        </w:rPr>
        <w:t xml:space="preserve">CONTACT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Susanne Schnepel</w:t>
      </w:r>
      <w:r w:rsidDel="00000000" w:rsidR="00000000" w:rsidRPr="00000000">
        <w:rPr>
          <w:rFonts w:ascii="Arial" w:cs="Arial" w:eastAsia="Arial" w:hAnsi="Arial"/>
          <w:b w:val="0"/>
          <w:bCs w:val="0"/>
          <w:i w:val="0"/>
          <w:iCs w:val="0"/>
          <w:smallCaps w:val="0"/>
          <w:strike w:val="0"/>
          <w:color w:val="000080"/>
          <w:sz w:val="15.999799728393555"/>
          <w:szCs w:val="15.999799728393555"/>
          <w:u w:val="none"/>
          <w:shd w:fill="auto" w:val="clear"/>
          <w:vertAlign w:val="baseline"/>
          <w:rtl w:val="0"/>
        </w:rPr>
        <w:t xml:space="preserve">susanne.schnepel@uzh.ch</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18.6138534545898"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Les données supplémentaires relatives à cet article sont accessibles.</w:t>
      </w:r>
      <w:r w:rsidDel="00000000" w:rsidR="00000000" w:rsidRPr="00000000">
        <w:rPr>
          <w:rFonts w:ascii="Arial" w:cs="Arial" w:eastAsia="Arial" w:hAnsi="Arial"/>
          <w:b w:val="0"/>
          <w:bCs w:val="0"/>
          <w:i w:val="0"/>
          <w:iCs w:val="0"/>
          <w:smallCaps w:val="0"/>
          <w:strike w:val="0"/>
          <w:color w:val="000080"/>
          <w:sz w:val="15.999799728393555"/>
          <w:szCs w:val="15.999799728393555"/>
          <w:u w:val="none"/>
          <w:shd w:fill="auto" w:val="clear"/>
          <w:vertAlign w:val="baseline"/>
          <w:rtl w:val="0"/>
        </w:rPr>
        <w:t xml:space="preserve">ici</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76092529296875" w:line="240" w:lineRule="auto"/>
        <w:ind w:left="772.5217819213867" w:right="0" w:firstLine="0"/>
        <w:jc w:val="left"/>
        <w:rPr>
          <w:rFonts w:ascii="Arial" w:cs="Arial" w:eastAsia="Arial" w:hAnsi="Arial"/>
          <w:b w:val="0"/>
          <w:bCs w:val="0"/>
          <w:i w:val="0"/>
          <w:iCs w:val="0"/>
          <w:smallCaps w:val="0"/>
          <w:strike w:val="0"/>
          <w:color w:val="000000"/>
          <w:sz w:val="13.999600410461426"/>
          <w:szCs w:val="13.99960041046142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3.999600410461426"/>
          <w:szCs w:val="13.999600410461426"/>
          <w:u w:val="none"/>
          <w:shd w:fill="auto" w:val="clear"/>
          <w:vertAlign w:val="baseline"/>
          <w:rtl w:val="0"/>
        </w:rPr>
        <w:t xml:space="preserve">© 2021 Les auteurs. Publié par Informa UK Limited, exerçant ses activités sous le nom de Taylor &amp; Francis Group.</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75965976715088" w:lineRule="auto"/>
        <w:ind w:left="775.6016540527344" w:right="817.3248291015625" w:hanging="7.41973876953125"/>
        <w:jc w:val="both"/>
        <w:rPr>
          <w:rFonts w:ascii="Arial" w:cs="Arial" w:eastAsia="Arial" w:hAnsi="Arial"/>
          <w:b w:val="0"/>
          <w:bCs w:val="0"/>
          <w:i w:val="0"/>
          <w:iCs w:val="0"/>
          <w:smallCaps w:val="0"/>
          <w:strike w:val="0"/>
          <w:color w:val="000000"/>
          <w:sz w:val="13.999600410461426"/>
          <w:szCs w:val="13.99960041046142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3.999600410461426"/>
          <w:szCs w:val="13.999600410461426"/>
          <w:u w:val="none"/>
          <w:shd w:fill="auto" w:val="clear"/>
          <w:vertAlign w:val="baseline"/>
          <w:rtl w:val="0"/>
        </w:rPr>
        <w:t xml:space="preserve">Cet article est en libre accès et distribué selon les termes de la licence Creative Commons Attribution-NonCommercial-NoDerivatives (</w:t>
      </w:r>
      <w:r w:rsidDel="00000000" w:rsidR="00000000" w:rsidRPr="00000000">
        <w:rPr>
          <w:rFonts w:ascii="Arial" w:cs="Arial" w:eastAsia="Arial" w:hAnsi="Arial"/>
          <w:b w:val="0"/>
          <w:bCs w:val="0"/>
          <w:i w:val="0"/>
          <w:iCs w:val="0"/>
          <w:smallCaps w:val="0"/>
          <w:strike w:val="0"/>
          <w:color w:val="000080"/>
          <w:sz w:val="13.999600410461426"/>
          <w:szCs w:val="13.999600410461426"/>
          <w:u w:val="none"/>
          <w:shd w:fill="auto" w:val="clear"/>
          <w:vertAlign w:val="baseline"/>
          <w:rtl w:val="0"/>
        </w:rPr>
        <w:t xml:space="preserve">http://creativecommons.org/licenses/by-nc-nd/4.0/</w:t>
      </w:r>
      <w:r w:rsidDel="00000000" w:rsidR="00000000" w:rsidRPr="00000000">
        <w:rPr>
          <w:rFonts w:ascii="Arial" w:cs="Arial" w:eastAsia="Arial" w:hAnsi="Arial"/>
          <w:b w:val="0"/>
          <w:bCs w:val="0"/>
          <w:i w:val="0"/>
          <w:iCs w:val="0"/>
          <w:smallCaps w:val="0"/>
          <w:strike w:val="0"/>
          <w:color w:val="000000"/>
          <w:sz w:val="13.999600410461426"/>
          <w:szCs w:val="13.999600410461426"/>
          <w:u w:val="none"/>
          <w:shd w:fill="auto" w:val="clear"/>
          <w:vertAlign w:val="baseline"/>
          <w:rtl w:val="0"/>
        </w:rPr>
        <w:t xml:space="preserve">), qui autorise la réutilisation, la distribution et la reproduction non commerciales sur tout support, à condition que l'œuvre originale soit correctement citée et ne soit ni altérée, ni transformée, ni utilisée comme base pour une œuvre dérivée.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664 S. SCHNEPEL ET P. AUNIO</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226474761963" w:lineRule="auto"/>
        <w:ind w:left="771.221923828125" w:right="721.5972900390625" w:firstLine="4.000015258789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caractéristiques de leur déficience intellectuelle ainsi que leurs niveaux de réussite très hétérogènes créent des défis pour les enseignants (Lee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qui se sentent souvent mal préparés à enseigner les mathématiques à ce groupe d'étudiants (Spooner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 conséquent, les enseignants ont besoin de stratégies pédagogiques efficaces pour offrir un enseignement des mathématiques de haute qualité aux élèves présentant une déficience intellectuelle (King, Lemons et Davidson).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l’objectif de cette revue systématique est d’identifier les caractéristiques des interventions mathématiques efficaces pour les élèves de 5 à 12 ans présentant une déficience intellectuelle.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8203125" w:line="259.89752769470215" w:lineRule="auto"/>
        <w:ind w:left="770.2220153808594" w:right="723.497314453125" w:firstLine="237.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Cette étude se concentre sur cette tranche d'âge car les enfants acquièrent généralement les compétences mathématiques de base (c'est-à-dire les notions de base en calcul, en arithmétique et en résolution de problèmes arithmétiques) durant l'école primaire. Les notions de base en calcul comprennent la compréhension symbolique et non symbolique des nombres (évaluation approximative des grandeurs ou des symboles les représentant), la compréhension des relations mathématiques (premiers principes logico-mathématiques, principes arithmétiques, numération positionnelle et système décimal), les compétences en comptage et les compétences arithmétiques de base (addition, soustraction, multiplication et division) (Aunio et Räsänen).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Ces compétences sont de bons indicateurs des performances ultérieures en mathématiques (Jordan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interventions arithmétiques pour les élèves ayant une déficience intellectuelle visent à améliorer la connaissance des élèves des quatre opérations de base et du calcul mental (Bowman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Hord et Bouck</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résolution de problèmes arithmétiques comprend la généralisation et l'utilisation de ces compétences dans différents contextes et dans le monde réel (Saunders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Les interventions de résolution de problèmes arithmétiques pour les élèves ayant une déficience intellectuelle mettent souvent l'accent sur les étapes de la résolution de problèmes : traduction du problème, intégration du problème, planification de la solution et exécution de la solution (Root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698974609375" w:line="247.18125343322754" w:lineRule="auto"/>
        <w:ind w:left="778.3319091796875" w:right="1028.9263916015625" w:hanging="7.350006103515625"/>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Approches et stratégies pédagogiques pour l'enseignement des mathématiques aux élèves présentant une déficience intellectuelle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702392578125" w:line="259.9226474761963" w:lineRule="auto"/>
        <w:ind w:left="774.6218872070312" w:right="721.5966796875" w:hanging="6.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Afin de définir les paramètres de notre revue systématique, à savoir les méthodes d'enseignement les plus efficaces et les plus fréquemment utilisées, nous avons analysé les résultats des revues et méta-analyses antérieures portant sur l'enseignement des mathématiques aux élèves présentant une déficience intellectuelle. Onze revues et méta-analyses publiées au cours des 20 dernières années incluent des études d'intervention visant à améliorer les compétences mathématiques (par exemple, le calcul précoce, l'arithmétique, les mesures, l'algèbre, la géométrie et l'analyse de données) (voir le supplément en ligne). L'enseignement explicite, l'enseignement direct et l'enseignement systématique se dégagent comme les trois méthodes les plus fréquemment utilisées.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789794921875" w:line="259.55617904663086" w:lineRule="auto"/>
        <w:ind w:left="780.02197265625" w:right="722.5164794921875" w:hanging="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Ces ressources pédagogiques sont destinées à l'enseignement des mathématiques aux élèves présentant une déficience intellectuelle. Elles sont toutes conçues par l'enseignant et proposent des stratégies pédagogiques similaires.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833740234375" w:line="259.7760772705078" w:lineRule="auto"/>
        <w:ind w:left="771.221923828125" w:right="721.417236328125" w:firstLine="251.96006774902344"/>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L'enseignement explicite consiste en un comportement pédagogique étayé par la recherche, caractérisé par la clarté du langage et de l'objectif, ainsi que par une réduction de la charge cognitive. Fournir des commentaires, modéliser et verbaliser sa pensée, décomposer les tâches complexes en unités d'enseignement plus petites et offrir aux étudiants des occasions de pratique intensive avec un soutien et des incitations progressivement atténués sont autant de stratégies pour fournir un enseignement explicite (Hughes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5982666015625" w:line="259.92937088012695" w:lineRule="auto"/>
        <w:ind w:left="774.6218872070312" w:right="721.5972900390625" w:firstLine="248.560104370117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L’enseignement direct a les mêmes objectifs et stratégies que l’enseignement explicite, ce qui rend difficile de les distinguer (Lemons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L’enseignement direct tend à inclure des plans de cours et des programmes d’études scénarisés, utilisant les mêmes stratégies pédagogiques que l’enseignement explicite.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71942138671875" w:line="259.5564651489258" w:lineRule="auto"/>
        <w:ind w:left="775.4219055175781" w:right="721.7364501953125" w:firstLine="240.9600067138672"/>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L'enseignement systématique met l'accent sur les procédures d'incitation. Lors de l'apprentissage d'une nouvelle compétence, les formateurs contrôlent pleinement l'apprentissage en modélisant et en guidant la pratique à l'aide de méthodes pédagogiques.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4.702148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665</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8310375213623" w:lineRule="auto"/>
        <w:ind w:left="774.6218872070312" w:right="721.4569091796875" w:firstLine="6.800003051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 incitations. Au cours de la leçon, l'enseignant cède progressivement le contrôle, encourageant les élèves à travailler de manière autonome (Rosenshine).</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 incitations (par exemple verbales, gestuelles ou physiques) sont utilisées pour encourager les réponses correctes. Les pratiques courantes dans l'enseignement systématique des élèves ayant une déficience intellectuelle sont les procédures d'incitation, le délai constant et un système d'incitations minimales (Bowman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Spooner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544921875" w:line="259.73605155944824" w:lineRule="auto"/>
        <w:ind w:left="767.6219177246094" w:right="721.376953125" w:firstLine="245.360031127929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Selon Spooner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les interventions mathématiques dirigées par l'enseignant les plus efficaces pour les élèves ayant une déficience intellectuelle comprennent un enseignement explicite et systématique (voir aussi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Kroesbergen et Van Luit</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Goya, Ulloa et Wells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L'utilisation de méthodes d'enseignement axées sur l'analyse des tâches, d'organisateurs graphiques et de matériel de manipulation s'est également révélée efficace (Hudson, Rivera et Grady).</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Spooner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Peltier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L’enseignement assisté par la technologie est une autre stratégie pédagogique éprouvée (par exemple, Spooner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332275390625" w:line="259.9259948730469" w:lineRule="auto"/>
        <w:ind w:left="771.221923828125" w:right="721.89697265625" w:firstLine="245.159988403320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Certaines études ont tenté de déterminer quelle méthode est la mieux adaptée à l'acquisition et à l'amélioration de chaque compétence mathématique. Butler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ont constaté que si les compétences en calcul étaient mieux enseignées par l'instruction directe, les compétences arithmétiques s'apprenaient principalement par le biais d'incitations, et la résolution de problèmes mathématiques était favorisée par l'autorégulation et l'enseignement de stratégies. Selon Kroesbergen et Van Luit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l'enseignement direct et répétitif est l'approche pédagogique la plus efficace pour développer les compétences arithmétiques de base.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15551757812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Intensité et durée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69482421875" w:line="259.8717212677002" w:lineRule="auto"/>
        <w:ind w:left="771.221923828125" w:right="721.4569091796875" w:firstLine="4.79995727539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élèves présentant une déficience intellectuelle ont besoin de plus de répétition et de temps pour acquérir des compétences en mathématiques que ceux qui n'en présentent pas (Baroody).</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1999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il est également important de disposer d'une détermination fondée sur des données probantes de l'intensité optimale de l'intervention afin que les interventions puissent être planifiées et les ressources distribuées efficacement dans les systèmes de soutien à l'éducation spécialisée (Lemons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Cependant, l'intensité nécessaire à une intervention pour être efficace reste inconnue, car elle est rarement rapportée. Dans leur analyse, King, Lemons et Davidson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indiquent que la plupart des études ont une durée comprise entre une semaine et un mois, mais que seulement la moitié des 14 études incluses dans leur analyse ont fourni des informations sur la durée des sessions. Selon Kroesbergen et Van Luit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une intervention plus longue a eu un effet plus faible. Ils ont suggéré que le plus grand nombre de compétences ciblées dans les interventions à long terme entraînait de faibles gains de performance dans de multiples domaines, ce qui se traduisait par un faible effet global. Étant donné que la comparaison de l'intensité des interventions entre les études est importante pour évaluer leur efficacité, Warren, Fey et Yoder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suggèrent de calculer un</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intensité cumulative de l'intervention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(CII), le produit du nombre de séances d’intervention par semaine, de leur durée et de la durée totale (nombre de semaines) de l’intervention.</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4.30023193359375" w:line="240" w:lineRule="auto"/>
        <w:ind w:left="771.6119766235352"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Étude actuelle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85009765625" w:line="259.9999523162842" w:lineRule="auto"/>
        <w:ind w:left="775.2220153808594" w:right="721.417236328125" w:hanging="4.5999908447265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Bien que les revues et méta-analyses précédentes confirment l'efficacité des interventions en mathématiques auprès des élèves présentant une déficience intellectuelle (DI), elles ne révèlent pas les caractéristiques spécifiques des interventions qui permettent le mieux à ces élèves d'acquérir des compétences précoces en calcul, en arithmétique et en résolution de problèmes arithmétiques. Ces études examinent l'impact des interventions sur les élèves âgés de 4 à 22 ans et analysent les réponses de différents sous-groupes d'élèves présentant une DI, tels que ceux présentant une DI légère, modérée ou sévère.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666 S. SCHNEPEL ET P. AUNIO</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53603744506836" w:lineRule="auto"/>
        <w:ind w:left="781.4219665527344" w:right="721.9769287109375" w:firstLine="1.39999389648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Syndrome de Down ou autisme. Cette étude contribue à combler cette lacune dans la recherche actuelle en répondant à la question suivante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99853515625" w:line="259.55617904663086" w:lineRule="auto"/>
        <w:ind w:left="774.6218872070312" w:right="721.9769287109375" w:firstLine="236.3600921630859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Quelles sont les caractéristiques des interventions efficaces pour améliorer les compétences précoces en calcul, en arithmétique et en résolution de problèmes arithmétiques chez les élèves ayant une déficience intellectuelle âgés de 5 à 12 ans ? Plus précisément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762939453125" w:line="259.5555782318115" w:lineRule="auto"/>
        <w:ind w:left="1004.6479797363281" w:right="1060.5773925781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999799728393555"/>
          <w:szCs w:val="16.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Quelles approches et stratégies pédagogiques ont été utilisées pour les interventions ?</w:t>
      </w:r>
      <w:r w:rsidDel="00000000" w:rsidR="00000000" w:rsidRPr="00000000">
        <w:rPr>
          <w:rFonts w:ascii="Times New Roman" w:cs="Times New Roman" w:eastAsia="Times New Roman" w:hAnsi="Times New Roman"/>
          <w:b w:val="0"/>
          <w:bCs w:val="0"/>
          <w:i w:val="0"/>
          <w:iCs w:val="0"/>
          <w:smallCaps w:val="0"/>
          <w:strike w:val="0"/>
          <w:color w:val="000000"/>
          <w:sz w:val="16.999799728393555"/>
          <w:szCs w:val="16.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Quelles compétences mathématiques ont été ciblées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83984375" w:line="240" w:lineRule="auto"/>
        <w:ind w:left="1004.64794158935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999799728393555"/>
          <w:szCs w:val="16.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Quelle importance revêt l'intensité de l'intervention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90087890625" w:line="259.92244720458984" w:lineRule="auto"/>
        <w:ind w:left="772.6420593261719" w:right="722.237548828125" w:hanging="2.600021362304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corollaire, nous examinons également si la taille de l'effet, définie par le pourcentage de données non chevauchantes (PND), constitue une mesure valide du succès d'une intervention pour l'ensemble des études analysées. Étant donné que les évaluations du QI des élèves présentant une déficience intellectuelle (DI) sont peu fiables, cette analyse ne fait pas de distinction entre les différents degrés de DI (Jenni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1968994140625" w:line="240" w:lineRule="auto"/>
        <w:ind w:left="778.8420486450195"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Méthodes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3197021484375" w:line="240" w:lineRule="auto"/>
        <w:ind w:left="771.6119766235352"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procédures de recherche documentaire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542760848999" w:lineRule="auto"/>
        <w:ind w:left="774.8219299316406" w:right="721.4569091796875" w:firstLine="7.99995422363281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Dans un premier temps, des sources pertinentes ont été recherchées dans les bases de données ERIC, PsychInfo, JSTOR, ResearchGate et Web of Science. La syntaxe suivante, avec les mots-clés, a été utilisée : (« déficience intellectuelle* » OU « trouble du développement* » OU « déficience cognitive* » OU « éducation spécialisée ») ET (« intervention » OU « enseignement » OU « formation ») ET (« numératie » OU « mathématiques* » OU « arithmétique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4501953125" w:line="259.8310375213623" w:lineRule="auto"/>
        <w:ind w:left="770.4219055175781" w:right="721.5972900390625" w:firstLine="10.99998474121093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Nous avons utilisé les mots-clés suivants : « méticuleux » OU « résolution de problèmes » OU « fluidité mathématique » OU « sens des nombres ». Différents mots-clés relatifs au handicap, au contexte, au contenu et à l’intervention ont été combinés. La recherche s’est limitée aux revues académiques. Dans un second temps, une recherche manuelle a été effectuée dans les revues publiant des études sur la déficience intellectuelle. Enfin, nous avons examiné les références bibliographiques des études présélectionnées.</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1538085937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Critères d'inclusion</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6978759765625" w:line="259.9226474761963" w:lineRule="auto"/>
        <w:ind w:left="771.221923828125" w:right="721.376953125" w:firstLine="4.79995727539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Pour être incluses dans cette revue, les études devaient répondre aux critères suivants : premièrement, seules les études portant sur des élèves âgés de 5 à 12 ans présentant une déficience intellectuelle (DI) ont été retenues ; deuxièmement, les élèves devaient avoir reçu un diagnostic de DI ou présenter un QI inférieur à 75 ; troisièmement, l’intervention devait être évaluée par une comparaison de groupes ou une étude de cas unique ; quatrièmement, l’intervention devait être décrite en détail et porter sur l’apprentissage précoce du calcul, du calcul ou la résolution de problèmes faisant appel au calcul ou au calcul ; enfin, seules les études rédigées en anglais et publiées entre 2008 et 2020 ont été sélectionnées.</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21795654296875" w:line="240" w:lineRule="auto"/>
        <w:ind w:left="777.9119491577148"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procédure de codage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8310375213623" w:lineRule="auto"/>
        <w:ind w:left="771.221923828125" w:right="721.7169189453125" w:firstLine="11.59996032714843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deux auteurs ont lu et codé indépendamment les études en fonction des variables suivantes : âge des participants, QI, taille de l’échantillon, plan d’étude, contenu, durée, contexte du groupe, animateur, stratégies pédagogiques, mesures, résultats/taille de l’effet et maintien/suivi. Lorsque l’information relative au pourcentage de données non chevauchantes (PDNC) était manquante dans les études de cas uniques, les auteurs ont calculé le PDNC à partir des données de référence et d’intervention.</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1.552124023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667</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999809265137" w:lineRule="auto"/>
        <w:ind w:left="775.02197265625" w:right="722.0367431640625" w:firstLine="0.2000427246093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graphiques. Pour les études de conception de groupe, la taille de l'effet, Hedges</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g</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 coefficient de corrélation a été calculé en divisant la différence entre le groupe traité et le groupe témoin par l'écart-type groupé, corrigé pour les petits échantillons (Institut des sciences de l'éducation).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 CII a été calculé à l'aide de Warren, Fey et Yoder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formule : Le produit de la durée de l'intervention en semaines, minutes ou essais par séance et du nombre de séances par semaine (semaines x minutes ou essais par séance x séances par semaine).</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9.85351562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Études incluses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69482421875" w:line="259.856014251709" w:lineRule="auto"/>
        <w:ind w:left="771.221923828125" w:right="721.417236328125" w:hanging="3.600006103515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recherche dans la base de données a donné 762 enregistrements, dont 20 répondaient aux critères d'inclusion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Figure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Tous les élèves présentaient une déficience intellectuelle diagnostiquée. Certains élèves avaient des diagnostics spécifiques, par exemple un trouble du spectre de l'autisme (environ 28 élèves) ou des syndromes spécifiques. Deux études à cas unique incluaient un élève de plus de 12 ans. Ces deux élèves ont été exclus des analyses. Dix-sept des 20 études sélectionnées présentaient un plan d'étude à cas unique, avec un total de 67 élèves présentant une déficience intellectuelle.</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3,6,</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1,7). Trois études comportaient un plan de comparaison de groupes avec un total de 107 étudiants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35,7,</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15,3), mais parmi ces étudiants, seuls 68 possédaient une carte d'identité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22,7,</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8,1). Le plan le plus courant dans les études de cas uniques était un plan à sondages multiples (échelonnés) entre les participants. Une étude combinait ce plan avec un plan de traitement alterné. Seule une des trois études de groupe comportait un suivi, 8 mois plus tard. Huit des 17 études de cas uniques comportaient une phase de maintien avec un à cinq points de mesure. Les phases de maintien ont débuté entre 1 jour et 10 semaines.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7.1075439453125" w:line="240" w:lineRule="auto"/>
        <w:ind w:left="780.351982116699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19"/>
          <w:szCs w:val="19"/>
          <w:u w:val="none"/>
          <w:shd w:fill="auto" w:val="clear"/>
          <w:vertAlign w:val="baseline"/>
          <w:rtl w:val="0"/>
        </w:rPr>
        <w:t xml:space="preserve">Figure 1.</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Procédures d'identification des études.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668 S. SCHNEPEL ET P. AUNIO</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2244720458984" w:lineRule="auto"/>
        <w:ind w:left="774.6218872070312" w:right="721.8572998046875" w:hanging="0.60005187988281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après la fin de l'intervention. Dans toutes les études, les séances d'intervention ont été menées individuellement ou en petits groupes de deux ou trois élèves. Une seule étude a combiné l'enseignement individuel avec l'enseignement dans des classes ordinaires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8203125" w:line="259.92284774780273" w:lineRule="auto"/>
        <w:ind w:left="775.02197265625" w:right="721.617431640625" w:firstLine="232.96005249023438"/>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fidélité procédurale des études était élevée car les conditions de traitement, les procédures et leur mise en œuvre étaient décrites et contrôlées (Tincani et Travers).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Ceci est important pour comprendre quelles caractéristiques de l'intervention sont essentielles pour obtenir des résultats positifs.</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25537109375" w:line="240" w:lineRule="auto"/>
        <w:ind w:left="782.1420669555664"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Résultats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3184814453125" w:line="259.542760848999" w:lineRule="auto"/>
        <w:ind w:left="774.6218872070312" w:right="722.216796875" w:hanging="6.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Vingt études répondaient aux critères d'inclusion.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Tableau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présente les approches et stratégies pédagogiques, les compétences mathématiques ciblées et l'intensité des trois études avec un plan de comparaison de groupes.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Tableau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donne un aperçu des caractéristiques d'intervention des études de cas uniques.</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4.574584960937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Approches et stratégies pédagogiques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88800048828125" w:lineRule="auto"/>
        <w:ind w:left="774.6218872070312" w:right="721.6571044921875" w:hanging="6.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majorité des interventions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k</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15) utilisaient un enseignement systématique ou explicite. L'enseignement explicite impliquait des stratégies telles que la modélisation, où l'enseignant montrait comment résoudre une tâche tout en verbalisant sa pensée. Les stratégies d'enseignement systématique utilisaient des incitations sous forme d'incitations simultanées, de système d'incitations minimales ou de fourniture d'incitations au besoin. Pictural (par exemple, Zisimopoulos)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auditif (par exemple Bouck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ou des incitations verbales étaient utilisées pour renforcer l'apprentissage par la répétition, pour contrôler le processus d'apprentissage et pour éviter les erreurs susceptibles de frustrer l'apprenant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Skibo, Mims et Spooner</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 délai constant était une autre stratégie pour obtenir des réponses correctes (par exemple, pour la reconnaissance des nombres). Il s'agissait d'un élément systématique des interventions précoces en numératie menées par le groupe de recherche de Browder. Le retour d'information était présent dans la quasi-totalité des interventions.</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66748046875" w:line="259.8578453063965" w:lineRule="auto"/>
        <w:ind w:left="771.221923828125" w:right="720.9375" w:firstLine="248.360061645507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plupart des interventions incluaient des stratégies pédagogiques telles que des objets manipulables, des représentations concrètes ou des organisateurs graphiques pour rendre les concepts et les opérations moins abstraits. Des représentations visuelles étaient utilisées pour aider les élèves à acquérir et à comprendre les concepts mathématiques (par exemple, Stroizer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résoudre des problèmes (par exemple Root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expliquer les procédures et les concepts (par exemple, Bouck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séquences d’apprentissage étaient très structurées et divisées en petites étapes, et il était possible de répéter chaque étape autant de fois que nécessaire. Une autre méthode pour soutenir la compréhension des concepts mathématiques par les élèves consistait à utiliser une méthode concrète, représentative et abstraite fondée sur un enseignement explicite (Bouck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Il guidait les élèves dans la résolution de problèmes mathématiques, d'abord avec du matériel concret, puis avec des représentations ou des dessins d'objets, et enfin en leur montrant comment résoudre le problème de manière abstraite à l'aide de symboles.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31756591796875" w:line="259.929141998291" w:lineRule="auto"/>
        <w:ind w:left="770.4219055175781" w:right="721.8975830078125" w:firstLine="237.5600433349609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enseignants ont adapté le contenu et l’enseignement au niveau de réussite de l’élève, par exemple en tenant compte des résultats du prétest (Tzanakaki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fournissant un retour d'information individualisé, en répétant l'information et en enseignant l'étape suivante une fois que les élèves avaient acquis les compétences préalables (par exemple, Zisimopoulos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Dans la plupart des interventions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3287353515625"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Dans ce contexte, les élèves devaient acquérir certaines compétences de base avant que des compétences plus complexes ne soient enseignées.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69.9023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sectPr>
          <w:type w:val="continuous"/>
          <w:pgSz w:h="14040" w:w="9860" w:orient="portrait"/>
          <w:pgMar w:bottom="479.6297073364258" w:top="372.120361328125" w:left="432.00000762939453" w:right="432.000732421875" w:header="0" w:footer="720"/>
          <w:cols w:equalWidth="0" w:num="1">
            <w:col w:space="0" w:w="8995.99925994873"/>
          </w:cols>
        </w:sect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669</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2.5439453125" w:line="199.92000102996826"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31.666666666666668"/>
          <w:szCs w:val="31.666666666666668"/>
          <w:u w:val="none"/>
          <w:shd w:fill="auto" w:val="clear"/>
          <w:vertAlign w:val="subscript"/>
          <w:rtl w:val="0"/>
        </w:rPr>
        <w:t xml:space="preserve">Tableau 1.</w:t>
      </w:r>
      <w:r w:rsidDel="00000000" w:rsidR="00000000" w:rsidRPr="00000000">
        <w:rPr>
          <w:rFonts w:ascii="Arial" w:cs="Arial" w:eastAsia="Arial" w:hAnsi="Arial"/>
          <w:b w:val="0"/>
          <w:bCs w:val="0"/>
          <w:i w:val="0"/>
          <w:iCs w:val="0"/>
          <w:smallCaps w:val="0"/>
          <w:strike w:val="0"/>
          <w:color w:val="000000"/>
          <w:sz w:val="31.666666666666668"/>
          <w:szCs w:val="31.666666666666668"/>
          <w:u w:val="none"/>
          <w:shd w:fill="auto" w:val="clear"/>
          <w:vertAlign w:val="subscript"/>
          <w:rtl w:val="0"/>
        </w:rPr>
        <w:t xml:space="preserve">Études avec plan de comparaison de groupes</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2.2993946075439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Taille de l'effet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Intensité de l'intervention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8.0673217773438"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Intervention/enseignement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2.178344726562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(Hedges)</w:t>
      </w:r>
      <w:r w:rsidDel="00000000" w:rsidR="00000000" w:rsidRPr="00000000">
        <w:rPr>
          <w:rFonts w:ascii="Arial" w:cs="Arial" w:eastAsia="Arial" w:hAnsi="Arial"/>
          <w:b w:val="0"/>
          <w:bCs w:val="0"/>
          <w:i w:val="1"/>
          <w:iCs w:val="1"/>
          <w:smallCaps w:val="0"/>
          <w:strike w:val="0"/>
          <w:color w:val="000000"/>
          <w:sz w:val="26.666332880655926"/>
          <w:szCs w:val="26.666332880655926"/>
          <w:u w:val="none"/>
          <w:shd w:fill="auto" w:val="clear"/>
          <w:vertAlign w:val="subscript"/>
          <w:rtl w:val="0"/>
        </w:rPr>
        <w:t xml:space="preserve">g</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(CII</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3907470703125" w:line="585.306873321533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 ciblée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composant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0.453968048095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Multiplication: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12 séances de 30 à 35 minutes, 2 à 3 séances par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0.3631591796875" w:line="211.26947879791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Problème de multiplication et de division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directe, ARC, F</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B</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932.781028747558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0,1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1</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semaine, 4 à 6 semaines (360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0,1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9</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8 séances de 15 min, 2 séances par semaine,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4 semaines (120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541992187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Premières compétences en calcul : associer les nombres à leur grandeur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82348632812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Jeu</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et</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SON 3 : 0,33</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2067947387695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13 à 33 séances de 15 à 20 min, 2 à 3 séances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reconnaître les suites logiques, additionner et…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orthophonie,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6828174591064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Comptage : 0,24</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par semaine, 12 semaines (360–540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problèmes de soustraction avec stratégie de comptage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matériel de manipulation, F</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B</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Nombre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identification: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0,1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6</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1.312636375427246"/>
          <w:szCs w:val="11.312636375427246"/>
          <w:u w:val="none"/>
          <w:shd w:fill="auto" w:val="clear"/>
          <w:vertAlign w:val="baseline"/>
        </w:rPr>
        <w:sectPr>
          <w:type w:val="continuous"/>
          <w:pgSz w:h="14040" w:w="9860" w:orient="portrait"/>
          <w:pgMar w:bottom="479.6297073364258" w:top="372.120361328125" w:left="1440" w:right="1440" w:header="0" w:footer="720"/>
          <w:cols w:equalWidth="0" w:num="1">
            <w:col w:space="0" w:w="6980"/>
          </w:cols>
        </w:sect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CII = intensité cumulative de l'intervention ; SLP = système d'incitations minimales ; FB = rétroaction ; CRA = approche concrète, représentationnelle et abstraite ; TEMA 3 = Test d'aptitudes mathématiques précoces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3</w:t>
      </w:r>
      <w:r w:rsidDel="00000000" w:rsidR="00000000" w:rsidRPr="00000000">
        <w:rPr>
          <w:rFonts w:ascii="Arial" w:cs="Arial" w:eastAsia="Arial" w:hAnsi="Arial"/>
          <w:b w:val="0"/>
          <w:bCs w:val="0"/>
          <w:i w:val="0"/>
          <w:iCs w:val="0"/>
          <w:smallCaps w:val="0"/>
          <w:strike w:val="0"/>
          <w:color w:val="000000"/>
          <w:sz w:val="31.42398993174235"/>
          <w:szCs w:val="31.42398993174235"/>
          <w:u w:val="none"/>
          <w:shd w:fill="auto" w:val="clear"/>
          <w:vertAlign w:val="superscript"/>
          <w:rtl w:val="0"/>
        </w:rPr>
        <w:t xml:space="preserve">r</w:t>
      </w:r>
      <w:r w:rsidDel="00000000" w:rsidR="00000000" w:rsidRPr="00000000">
        <w:rPr>
          <w:rFonts w:ascii="Arial" w:cs="Arial" w:eastAsia="Arial" w:hAnsi="Arial"/>
          <w:b w:val="0"/>
          <w:bCs w:val="0"/>
          <w:i w:val="0"/>
          <w:iCs w:val="0"/>
          <w:smallCaps w:val="0"/>
          <w:strike w:val="0"/>
          <w:color w:val="000000"/>
          <w:sz w:val="18.85439395904541"/>
          <w:szCs w:val="18.85439395904541"/>
          <w:u w:val="none"/>
          <w:shd w:fill="auto" w:val="clear"/>
          <w:vertAlign w:val="subscript"/>
          <w:rtl w:val="0"/>
        </w:rPr>
        <w:t xml:space="preserve">d</w:t>
      </w:r>
      <w:r w:rsidDel="00000000" w:rsidR="00000000" w:rsidRPr="00000000">
        <w:rPr>
          <w:rFonts w:ascii="Arial" w:cs="Arial" w:eastAsia="Arial" w:hAnsi="Arial"/>
          <w:b w:val="0"/>
          <w:bCs w:val="0"/>
          <w:i w:val="0"/>
          <w:iCs w:val="0"/>
          <w:smallCaps w:val="0"/>
          <w:strike w:val="0"/>
          <w:color w:val="000000"/>
          <w:sz w:val="11.312636375427246"/>
          <w:szCs w:val="11.312636375427246"/>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goujon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et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150146484375" w:line="240" w:lineRule="auto"/>
        <w:ind w:left="118.514404296875"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Agaliotis et Teli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2016</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6.93206787109375" w:firstLine="0"/>
        <w:jc w:val="righ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Brankaer, Ghesquière, and</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3619384765625"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le Smedt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052490234375"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Tzanakaki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2014</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8.2049560546875" w:line="240" w:lineRule="auto"/>
        <w:ind w:left="0" w:right="57.1600341796875" w:firstLine="0"/>
        <w:jc w:val="right"/>
        <w:rPr>
          <w:rFonts w:ascii="Arial" w:cs="Arial" w:eastAsia="Arial" w:hAnsi="Arial"/>
          <w:b w:val="0"/>
          <w:bCs w:val="0"/>
          <w:i w:val="0"/>
          <w:iCs w:val="0"/>
          <w:smallCaps w:val="0"/>
          <w:strike w:val="0"/>
          <w:color w:val="000000"/>
          <w:sz w:val="15.999799728393555"/>
          <w:szCs w:val="15.999799728393555"/>
          <w:u w:val="none"/>
          <w:shd w:fill="auto" w:val="clear"/>
          <w:vertAlign w:val="baseline"/>
        </w:rPr>
        <w:sectPr>
          <w:type w:val="continuous"/>
          <w:pgSz w:h="14040" w:w="9860" w:orient="portrait"/>
          <w:pgMar w:bottom="479.6297073364258" w:top="372.120361328125" w:left="2770" w:right="277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edition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sectPr>
          <w:type w:val="continuous"/>
          <w:pgSz w:h="14040" w:w="9860" w:orient="portrait"/>
          <w:pgMar w:bottom="479.6297073364258" w:top="372.120361328125" w:left="432.00000762939453" w:right="432.000732421875" w:header="0" w:footer="720"/>
          <w:cols w:equalWidth="0" w:num="1">
            <w:col w:space="0" w:w="8995.99925994873"/>
          </w:cols>
        </w:sect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670 S. SCHNEPEL ET P. AUNIO</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2.08374023437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Intensité de l'intervention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66.2255191802978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Taille de l'effet : PN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D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(CII</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8.358058929443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88,89</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8 à 9 séances, 15 essais par séance, quotidiennement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pendant deux semaines (120–135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2246227264404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77 %, 90 %, 100 %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 à 22 séances, 15 essais par séance,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quotidien, pendant trois semaines (225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58.674240112304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55–100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4 séances de 30 min par semaine,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 mois (2880)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096.4655303955078"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Au moins 36 séances (n/a)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4.729833602905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72 %, 77 %, 100 %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Au moins 15 séances (n/a)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75 à 90 %,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75–100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15600585937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Séances quotidiennes de 30 min, 4 à 8 semaines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(600–1200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1210308074951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96 %, 81 %, 57 %, 86 %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4 séances de 20 min par semaine, 2–</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 semaines (160–480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97.8412818908691"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3 à 4 séances par semaine, environ 15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séances en 5 semaines (n/a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4055089950561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91 %, 39 %, 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3 à 4 essais par semaine, chaque essai durant 5 minutes, 2 à 4 essais par semaine.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5 semaines (30–120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13.1074523925781"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8 à 9 séances, 2 séances par jour (n/a)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48.2940578460693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92–100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20 à 31 séances avec 10 essais, environ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 semaines (240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40.48711776733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90–100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20 séances de 20 à 60 min, par jour,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4 semaines (400–1200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62.6635742187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3 séances de 10 à 15 min par semaine,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 semaines (180–270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40803337097168"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100 %, 29 %, 57</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3 à 4 séances par semaine, 2 à 3 semaines (n/a)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6.098632812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Au moins 9 à 11, 2 séances de 10 à 20 min.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par semaine, 11 semaines (180–270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59.36433792114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Jusqu'à 100 séances, par jour, de 30 minutes chacune.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année scolaire (3000)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100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2280273437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6 à 8 séances de 15 à 20 min, par jour (113–</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150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SLP = système d'incitation minimale ; SP = incitation simultanée ; TA = analyse de la tâche ; CTD = délai constant ; GO = organisateur graphique ; PBMS = histoire mathématique basée sur un problème ; MLT = test guidé par un modèle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VOD = dispositif de synthèse vocale ; SI = auto-instruction ; FB = retour d’information ; CRA = approche concrète, représentationnelle et abstraite ; n/a = information non disponible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31.666666666666668"/>
          <w:szCs w:val="31.666666666666668"/>
          <w:u w:val="none"/>
          <w:shd w:fill="auto" w:val="clear"/>
          <w:vertAlign w:val="subscript"/>
          <w:rtl w:val="0"/>
        </w:rPr>
        <w:t xml:space="preserve">Tableau 2.</w:t>
      </w:r>
      <w:r w:rsidDel="00000000" w:rsidR="00000000" w:rsidRPr="00000000">
        <w:rPr>
          <w:rFonts w:ascii="Arial" w:cs="Arial" w:eastAsia="Arial" w:hAnsi="Arial"/>
          <w:b w:val="0"/>
          <w:bCs w:val="0"/>
          <w:i w:val="0"/>
          <w:iCs w:val="0"/>
          <w:smallCaps w:val="0"/>
          <w:strike w:val="0"/>
          <w:color w:val="000000"/>
          <w:sz w:val="31.666666666666668"/>
          <w:szCs w:val="31.666666666666668"/>
          <w:u w:val="none"/>
          <w:shd w:fill="auto" w:val="clear"/>
          <w:vertAlign w:val="subscript"/>
          <w:rtl w:val="0"/>
        </w:rPr>
        <w:t xml:space="preserve">Études à cas unique</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3.7837219238281"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 ciblée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Composante d'intervention/d'enseignement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Identification des nombres 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5</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3.247070312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D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Identification des nombres 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5</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6.846923828125"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SL</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P</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0.7630014419555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créer et additionner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explicite avec modélisation, SLP, GO,</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4.702568054199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ensembles, 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FB, CTD, 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864822387695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créer et additionner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SLP, TA, CTD, MLT,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80.216369628906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ensembles, 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87258052825928"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créer et additionner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SLP, TA, CTD,</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80.216369628906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ensembles, 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288774490356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création d'ensembles et de motifs,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SLP, 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87258052825928"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créer et additionner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SLP, TA, CTD,</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80.216369628906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ensembles, 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229080200195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compter, créer et additionner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VOD, SLP, TA,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9.812126159668"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ensembles, mesures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CTD, PBM</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6380348205566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Compétences de base en calcul : subitisation, notions simples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GO, 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P</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problème d'addition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8795995712280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Problèmes d'addition à un chiffre avec</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Calik et Kargin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2010</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 Instruction directe : modélisation, pratique guidée,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3.33437919616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points de contact (en misant sur la stratégie)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renforts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t</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31043243408203"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Problèmes d'addition à un chiffre avec</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Cihak et Foust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2008</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 MLT, SL</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P</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ligne numérique ou point de contact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1289978027344"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Addition, soustraction,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Instructions explicites, MLT, CR</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UN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tables de multiplication de 0 à</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5</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6599044799804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Table de multiplication à un chiffre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estompage de l'image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technique en 4 étapes (SLP), modélisation, F</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B</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7294368743896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Arithmétique : Problème de multiplication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VOD (ordinateur penttop)</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50488662719727"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Résolution de problèmes : Rendre la monnaie avec des pièces de monnaie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Instructions explicites, modélisation, incitation,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19.370203018188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problèmes (addition, soustraction)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ARC, F</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B</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11183071136475"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Résolution de problèmes : Addition et soustraction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systématique, représentation visuelle,</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56.7986869812012"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problème de mots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s</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TA, 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JE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1556625366211"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Résolution de problèmes : Résoudre des problèmes de comparaison de mots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Instruction explicite, GO, SI, SLP, iPa</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d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sectPr>
          <w:type w:val="continuous"/>
          <w:pgSz w:h="14040" w:w="9860" w:orient="portrait"/>
          <w:pgMar w:bottom="479.6297073364258" w:top="372.120361328125" w:left="1440" w:right="1440" w:header="0" w:footer="720"/>
          <w:cols w:equalWidth="0" w:num="1">
            <w:col w:space="0" w:w="6980"/>
          </w:cols>
        </w:sect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problèmes (Combien d'autres ?</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6.9625854492188"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goujon</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et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Sahbaz et Katlav</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2018</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Skibo, Mims et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Spooner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2011</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Browder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2012</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Jimenez et Kemmery</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2013</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Jimenez et Staples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Jimenez et Besaw</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2020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Wright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2020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Hudson, Zambone et</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Brickhouse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2016</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Jimenez et Saunders</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2019</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Stroizer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2015</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Zisimopoulos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2010</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Bouck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2009</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Bouck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2018</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Browder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2018</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5.999799728393555"/>
          <w:szCs w:val="15.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6.666332880655926"/>
          <w:szCs w:val="26.666332880655926"/>
          <w:u w:val="none"/>
          <w:shd w:fill="auto" w:val="clear"/>
          <w:vertAlign w:val="subscript"/>
          <w:rtl w:val="0"/>
        </w:rPr>
        <w:t xml:space="preserve">Root et al. (</w:t>
      </w:r>
      <w:r w:rsidDel="00000000" w:rsidR="00000000" w:rsidRPr="00000000">
        <w:rPr>
          <w:rFonts w:ascii="Arial" w:cs="Arial" w:eastAsia="Arial" w:hAnsi="Arial"/>
          <w:b w:val="0"/>
          <w:bCs w:val="0"/>
          <w:i w:val="0"/>
          <w:iCs w:val="0"/>
          <w:smallCaps w:val="0"/>
          <w:strike w:val="0"/>
          <w:color w:val="000080"/>
          <w:sz w:val="26.666332880655926"/>
          <w:szCs w:val="26.666332880655926"/>
          <w:u w:val="none"/>
          <w:shd w:fill="auto" w:val="clear"/>
          <w:vertAlign w:val="subscript"/>
          <w:rtl w:val="0"/>
        </w:rPr>
        <w:t xml:space="preserve">2017</w:t>
      </w:r>
      <w:r w:rsidDel="00000000" w:rsidR="00000000" w:rsidRPr="00000000">
        <w:rPr>
          <w:rFonts w:ascii="Arial" w:cs="Arial" w:eastAsia="Arial" w:hAnsi="Arial"/>
          <w:b w:val="0"/>
          <w:bCs w:val="0"/>
          <w:i w:val="0"/>
          <w:iCs w:val="0"/>
          <w:smallCaps w:val="0"/>
          <w:strike w:val="0"/>
          <w:color w:val="000000"/>
          <w:sz w:val="15.999799728393555"/>
          <w:szCs w:val="15.999799728393555"/>
          <w:u w:val="none"/>
          <w:shd w:fill="auto" w:val="clear"/>
          <w:vertAlign w:val="baseline"/>
          <w:rtl w:val="0"/>
        </w:rPr>
        <w:t xml:space="preserve">)</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93.452148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671</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999809265137" w:lineRule="auto"/>
        <w:ind w:left="768.4219360351562" w:right="721.4569091796875" w:firstLine="11.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 exemple, Bouck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Si des prérequis étaient nécessaires pour certaines compétences ciblées, ces compétences étaient répétées au début de l'intervention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Jimenez et Kemmery</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Bouck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Tzanakaki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Presque toutes les interventions comprenaient des plans de cours scénarisés pour aider les enseignants à s'adapter au niveau de réussite des élèves, à mettre en œuvre un enseignement systématique ou explicite, à donner des commentaires et à structurer la leçon.</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7275390625" w:line="260.1156234741211" w:lineRule="auto"/>
        <w:ind w:left="774.6218872070312" w:right="721.4569091796875" w:firstLine="238.360061645507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Quelques études ont soutenu l'apprentissage des mathématiques chez les élèves présentant une déficience intellectuelle grâce à un jeu (Brankaer, Ghesquière et de Smedt).</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ou des logiciels spécialisés (Bouck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Jimenez et Besaw</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837158203125" w:line="240" w:lineRule="auto"/>
        <w:ind w:left="781.6919326782227"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compétences mathématiques ciblées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896240234375" w:line="259.9248790740967" w:lineRule="auto"/>
        <w:ind w:left="771.221923828125" w:right="721.436767578125" w:firstLine="11.59996032714843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Onze interventions étaient axées sur les compétences numériques précoces, six interventions portaient sur l'enseignement des compétences arithmétiques aux élèves et trois interventions ciblaient la résolution de problèmes arithmétiques. Les interventions en numératie précoce comprenaient souvent des tâches arithmétiques de base et la résolution de problèmes arithmétiques, et une intervention de résolution de problèmes incluait des compétences numériques précoces (Root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interventions arithmétiques couvraient les quatre opérations de base. Deux d'entre elles étaient axées sur la récupération de faits (Agaliotis et Teli).</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Zisimopoulos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quatre interventions visant à favoriser l’utilisation de stratégies (par exemple, Stroizer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Dans deux interventions de résolution de problèmes, les étudiants ont pratiqué les quatre étapes de résolution de problèmes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Root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Bouck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axé sur la résolution de problèmes arithmétiques avec et sans matériel de manipulation.</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975708007812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Intensité de l'intervention</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90234375" w:line="259.89598274230957" w:lineRule="auto"/>
        <w:ind w:left="767.6219177246094" w:right="721.3970947265625" w:hanging="2.39997863769531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 nombre de séances par intervention variait de six à 100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25,33,</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26,61) et la durée totale de l'intervention variait d'une semaine à une année scolaire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7,39,</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7,88). La durée des séances variait de 5 à 60 minutes, avec une moyenne de 20 minutes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9,85). Sept études comportaient des séances d'intervention quotidiennes, six études trois à quatre séances par semaine et quatre études deux séances par semaine. Tous les auteurs n'ont pas indiqué la durée des séances, leur nombre par semaine ni la durée totale de l'intervention. Afin de comparer l'intensité des interventions, l'indice CII (voir Méthodes) a été calculé lorsque cela était possible. Les valeurs du CII varient de 113 à 3000, ce qui témoigne de la grande variabilité de l'intensité des interventions (</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M</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798,53,</w:t>
      </w:r>
      <w:r w:rsidDel="00000000" w:rsidR="00000000" w:rsidRPr="00000000">
        <w:rPr>
          <w:rFonts w:ascii="Oi" w:cs="Oi" w:eastAsia="Oi" w:hAnsi="Oi"/>
          <w:b w:val="0"/>
          <w:bCs w:val="0"/>
          <w:i w:val="1"/>
          <w:iCs w:val="1"/>
          <w:smallCaps w:val="0"/>
          <w:strike w:val="0"/>
          <w:color w:val="000000"/>
          <w:sz w:val="20"/>
          <w:szCs w:val="20"/>
          <w:u w:val="none"/>
          <w:shd w:fill="auto" w:val="clear"/>
          <w:vertAlign w:val="baseline"/>
          <w:rtl w:val="0"/>
        </w:rPr>
        <w:t xml:space="preserve">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1253,85). La moyenne et l'écart-type sont asymétriques car quatre des interventions comportaient des séances particulièrement fréquentes (quotidiennes), longues (30 à 40 min) et de longue durée (jusqu'à un an). Ces études présentaient des scores CII très élevés, entre 800 et 4500. Dix interventions affichaient des valeurs CII élevées, entre 120 et 510. Leurs séances duraient environ 20 minutes et se déroulaient quotidiennement ou au moins deux fois par semaine pendant 3 à 12 semaines (par exemple, Zisimopoulos).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Wright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01995849609375" w:line="240" w:lineRule="auto"/>
        <w:ind w:left="771.6119766235352"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Taille de l'effet</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9226474761963" w:lineRule="auto"/>
        <w:ind w:left="771.221923828125" w:right="721.4569091796875" w:hanging="3.600006103515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élèves ont réalisé des progrès significatifs dans toutes les études d'intervention de groupe, mais seules deux études ont révélé des différences significatives dans les compétences ciblées entre le groupe d'intervention et un groupe témoin (Brankaer, Ghesquière et de Smedt).</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Tzanakaki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plupart des interventions dans les études de cas uniques présentaient un PND supérieur à 70 %, cependant le PND de</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672 S. SCHNEPEL ET P. AUNIO</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2244720458984" w:lineRule="auto"/>
        <w:ind w:left="779.0219116210938" w:right="722.056884765625" w:hanging="7.79998779296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Deux interventions ont obtenu un PND inférieur à 50 %, et trois interventions ont présenté un PND compris entre 50 et 70 %. Cela signifie que l'intervention a été inefficace dans deux cas et a donné des résultats incertains dans trois cas (Scruggs et Mastropieri).</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Aucune corrélation n'a été trouvée entre la taille de l'effet et l'intensité de l'intervention.</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1.995849609375" w:line="240" w:lineRule="auto"/>
        <w:ind w:left="782.1420669555664"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Discussion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299560546875" w:line="260.1109027862549" w:lineRule="auto"/>
        <w:ind w:left="771.221923828125" w:right="721.4569091796875" w:hanging="3.600006103515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Cette revue a examiné les caractéristiques de 20 interventions en mathématiques destinées à des élèves de 5 à 12 ans présentant une déficience intellectuelle, rapportées dans des études publiées entre 2008 et 2020. Elle a révélé que les interventions reposant sur un enseignement systématique et explicite constituaient des approches pédagogiques efficaces pour l'apprentissage précoce du calcul, de l'arithmétique et de la résolution de problèmes arithmétiques. Une caractéristique commune aux interventions efficaces était leur forte intensité.</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820678710937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Approches pédagogiques</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896240234375" w:line="259.8702907562256" w:lineRule="auto"/>
        <w:ind w:left="771.221923828125" w:right="721.5972900390625" w:firstLine="11.59996032714843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Conformément aux conclusions des revues et méta-analyses précédentes, nos résultats confirment que l'enseignement explicite et systématique est une méthode efficace pour enseigner les mathématiques aux élèves ayant une déficience intellectuelle (par exemple,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Citrons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interventions efficaces sont généralement menées individuellement ou en petits groupes avec un enseignant qui adapte les leçons au niveau de réussite de l'élève en fournissant des incitations, des commentaires et des répétitions. Ces stratégies, qui sont des composantes importantes d'un enseignement systématique, sont également essentielles pour dynamiser les élèves, en veillant à ce que le temps consacré à la tâche et l'attention des élèves au sujet d'apprentissage soient suffisants (Hughes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015380859375" w:line="259.88800048828125" w:lineRule="auto"/>
        <w:ind w:left="767.6219177246094" w:right="719.5770263671875" w:firstLine="255.560073852539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techniques d'incitation, telles que le délai constant, le système des incitations minimales et l'incitation simultanée, constituent également des stratégies pédagogiques efficaces pour l'enseignement des mathématiques aux enfants présentant une déficience intellectuelle. Cependant, selon une étude de Shepley, Lane et Ault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Selon certaines études, la stratégie du minimum d'incitations s'avère inefficace pour les élèves de moins de 13 ans. Les auteurs suggèrent que cette stratégie est trop complexe pour les jeunes élèves présentant une déficience intellectuelle, car l'apprenant doit choisir lui-même le niveau de soutien nécessaire. Par conséquent, les stratégies d'incitation unique, telles que le délai constant et l'incitation simultanée, sont plus adaptées et efficaces pour l'enseignement des compétences scolaires aux jeunes élèves. Dans les interventions recensées dans cette étude, les systèmes du minimum d'incitations étaient systématiquement mis en œuvre conjointement avec d'autres stratégies pédagogiques. L'impact de cette stratégie d'incitation demeure donc incertain.</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062744140625" w:line="259.7761058807373" w:lineRule="auto"/>
        <w:ind w:left="767.6219177246094" w:right="725.057373046875" w:firstLine="248.7599945068359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Étonnamment, l'utilisation des technologies dans l'enseignement des mathématiques aux élèves présentant une déficience intellectuelle a rarement été étudiée, et il est donc impossible de se prononcer sur son efficacité. Ce résultat contraste avec les analyses de Hudson, Rivera et Grady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Spooner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qui mettent en lumière l'efficacité des technologies et du multimédia comme outils pédagogiques. Des recherches supplémentaires sont nécessaires pour étudier les effets de l'enseignement assisté par les technologies auprès des élèves présentant une déficience intellectuelle.</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199035644531" w:line="240" w:lineRule="auto"/>
        <w:ind w:left="768.2519912719727"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Matériel de manipulation et représentations visuelles</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8397827148438" w:line="260.10595321655273" w:lineRule="auto"/>
        <w:ind w:left="780.02197265625" w:right="721.4569091796875" w:firstLine="2.79998779296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Les interventions efficaces en mathématiques auprès des élèves présentant une déficience intellectuelle utilisent du matériel de manipulation, des représentations visuelles et des organisateurs graphiques. Cette stratégie, qui fait partie intégrante de l'enseignement explicite, a été employée dans la plupart des études analysées. Nos résultats concordent avec ceux de…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4.402465820312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673</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9999809265137" w:lineRule="auto"/>
        <w:ind w:left="770.4219055175781" w:right="721.417236328125" w:firstLine="10.99998474121093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revues précédentes (Bowman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cette stratégie est recommandée pour l’enseignement des mathématiques aux élèves ayant des besoins éducatifs spéciaux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Bouck et coll. 2018). Van Garderen et coll.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L'utilisation de matériel de manipulation s'avère complexe pour les enseignants, notamment lorsqu'il s'agit d'identifier des régularités ou d'expliquer une réponse. Ces difficultés n'ont pas été relevées dans les études incluses dans notre analyse, probablement parce que les enseignants disposaient généralement de plans de leçon détaillés précisant l'utilisation du matériel.</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7275390625" w:line="240" w:lineRule="auto"/>
        <w:ind w:left="781.621971130371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ulatifs (par exemple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92041015625" w:line="240" w:lineRule="auto"/>
        <w:ind w:left="781.6919326782227"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compétences mathématiques ciblées</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703125" w:line="259.8310375213623" w:lineRule="auto"/>
        <w:ind w:left="769.4219970703125" w:right="721.6571044921875" w:firstLine="3.1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résolution de problèmes arithmétiques était au cœur de trois des interventions et faisait partie d'au moins cinq interventions précoces en numératie et en arithmétique. Le nombre d'études portant sur la résolution de problèmes arithmétiques a augmenté au cours de la période depuis 2008 par rapport aux années précédentes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Une attention accrue portée à la résolution de problèmes pourrait indiquer une évolution vers un lien plus étroit entre l'enseignement des mathématiques et la vie quotidienne, la résolution de problèmes concrets, ainsi qu'une importance accrue accordée à la compréhension conceptuelle (Hudson, Rivera et Grady).</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Selon Browder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les compétences en résolution de problèmes arithmétiques se voient désormais accorder une plus grande importance et occupent donc une place plus prépondérante dans les programmes d'études, l'enseignement et la recherche.</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37377929687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Intensité de l'intervention</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8702907562256" w:lineRule="auto"/>
        <w:ind w:left="770.2220153808594" w:right="721.436767578125" w:firstLine="12.5999450683593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Une intensité cumulative élevée est une caractéristique importante des interventions mathématiques efficaces auprès des élèves présentant une déficience intellectuelle. Les interventions mathématiques les plus efficaces de notre étude comportaient au moins deux séances par semaine. Nous avons utilisé les valeurs de l'indice d'intensité cumulative (IIC) pour comparer l'intensité des interventions entre les différentes études (Warren, Fey et Yoder).</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cependant, seules 14 des 20 études ont été utilisées dans notre analyse, les six autres n'ayant pas fourni les informations nécessaires au calcul. À ce jour, peu d'études ont examiné l'efficacité des interventions auprès des élèves ayant des besoins éducatifs particuliers en fonction de leur intensité. Neil et Jones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discuter de l'intensité en fonction de l'espacement entre les intervalles</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015380859375" w:line="260.67572593688965" w:lineRule="auto"/>
        <w:ind w:left="780.02197265625" w:right="722.1173095703125" w:hanging="9.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 interventions et concluent qu'une intervention par semaine est insuffisante pour améliorer les compétences en matière de parole et de langage chez les enfants présentant une déficience intellectuelle.</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299072265625" w:line="240" w:lineRule="auto"/>
        <w:ind w:left="771.6119766235352"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Limites</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8992919921875" w:line="259.9226474761963" w:lineRule="auto"/>
        <w:ind w:left="772.6219177246094" w:right="721.536865234375" w:hanging="2.39997863769531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Bien que la recherche bibliographique ait été menée en plusieurs étapes, il est possible que toutes les études d'intervention pertinentes n'aient pas été recensées. Un autre biais de publication constitue une autre limite potentielle : seules les études présentant des effets importants et significatifs sont publiées (Gage, Cook et Reichow).</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plus, les interventions analysées dans cette étude ne portaient que sur certaines compétences en calcul précoce, en arithmétique et en résolution de problèmes arithmétiques. Les résultats reposent sur l'analyse de 20 études, un nombre relativement restreint pour en tirer des conclusions générales.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789794921875" w:line="260.1159381866455" w:lineRule="auto"/>
        <w:ind w:left="771.221923828125" w:right="721.5771484375" w:firstLine="248.360061645507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plupart de ces études reposaient sur un plan d'étude de cas unique avec un échantillon de petite taille, ce qui rendait difficile de tirer des conclusions sur les effets du traitement (Tincani et Travers).</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Cependant, les études sur de petits échantillons permettent de rendre compte plus en détail du développement, avant</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674 S. SCHNEPEL ET P. AUNIO</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920166015625" w:line="259.53603744506836" w:lineRule="auto"/>
        <w:ind w:left="780.4219055175781" w:right="722.3370361328125" w:firstLine="1.800003051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connaissances et caractéristiques de chaque participant que les comparaisons de groupes sur de grands échantillons (Horner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99853515625" w:line="259.8310375213623" w:lineRule="auto"/>
        <w:ind w:left="771.221923828125" w:right="722.2369384765625" w:firstLine="241.76002502441406"/>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Une autre limite réside dans l'évaluation de l'efficacité de ces études à partir du PND. La plupart des interventions se sont avérées très efficaces, notamment lorsque les connaissances préalables de l'élève étaient très faibles. Dans certaines études, les élèves n'avaient même jamais reçu d'enseignement sur les compétences ciblées avant l'intervention (Sahbaz et Katlav).</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Tzanakaki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Dans de tels cas, répondre correctement à une seule question entraînait un PND de 100 %.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35107421875" w:line="259.9259090423584" w:lineRule="auto"/>
        <w:ind w:left="771.221923828125" w:right="721.7364501953125" w:firstLine="248.360061645507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plupart des interventions de cette revue ont été menées en petits groupes ou en tête-à-tête et seules quatre études ont examiné comment les interventions pourraient être mises en œuvre pendant l'enseignement général en classe (Browder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Bouck et al. </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2009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Brankaer, Ghesquière et de Smedt</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Jimenez et Besaw</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Il s'agit d'une limitation importante car un nombre croissant d'élèves présentant une déficience intellectuelle fréquentent des classes ordinaires (Wehmeyer et Shogren).</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 les interventions futures devront être adaptées à ces contextes.</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51513671875" w:line="259.9226474761963" w:lineRule="auto"/>
        <w:ind w:left="771.221923828125" w:right="720.9375" w:firstLine="241.760025024414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Une dernière considération, et très importante, est le maintien et la longévité de l'apprentissage afin que les compétences acquises puissent être utilisées dans la vie quotidienne (McDonnell et al.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Seules huit des études incluses dans cette analyse comportaient des évaluations de maintenance dans leur conception.</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9.937744140625" w:line="240" w:lineRule="auto"/>
        <w:ind w:left="770.9819412231445" w:right="0" w:firstLine="0"/>
        <w:jc w:val="left"/>
        <w:rPr>
          <w:rFonts w:ascii="Oi" w:cs="Oi" w:eastAsia="Oi" w:hAnsi="Oi"/>
          <w:b w:val="1"/>
          <w:bCs w:val="1"/>
          <w:i w:val="1"/>
          <w:iCs w:val="1"/>
          <w:smallCaps w:val="0"/>
          <w:strike w:val="0"/>
          <w:color w:val="5477b3"/>
          <w:sz w:val="21"/>
          <w:szCs w:val="21"/>
          <w:u w:val="none"/>
          <w:shd w:fill="auto" w:val="clear"/>
          <w:vertAlign w:val="baseline"/>
        </w:rPr>
      </w:pPr>
      <w:r w:rsidDel="00000000" w:rsidR="00000000" w:rsidRPr="00000000">
        <w:rPr>
          <w:rFonts w:ascii="Oi" w:cs="Oi" w:eastAsia="Oi" w:hAnsi="Oi"/>
          <w:b w:val="1"/>
          <w:bCs w:val="1"/>
          <w:i w:val="1"/>
          <w:iCs w:val="1"/>
          <w:smallCaps w:val="0"/>
          <w:strike w:val="0"/>
          <w:color w:val="5477b3"/>
          <w:sz w:val="21"/>
          <w:szCs w:val="21"/>
          <w:u w:val="none"/>
          <w:shd w:fill="auto" w:val="clear"/>
          <w:vertAlign w:val="baseline"/>
          <w:rtl w:val="0"/>
        </w:rPr>
        <w:t xml:space="preserve">Implications pour la pratique et les recherches futures</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700927734375" w:line="259.9248790740967" w:lineRule="auto"/>
        <w:ind w:left="771.221923828125" w:right="721.517333984375" w:firstLine="3.600006103515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Notre revue systématique montre que les élèves présentant une déficience intellectuelle (DI) âgés de 5 à 12 ans peuvent acquérir avec succès des compétences en calcul élémentaire, en arithmétique et en résolution de problèmes arithmétiques. Un enseignement systématique et explicite, avec rétroaction et utilisation de matériel de manipulation, constitue une approche pédagogique efficace pour ces élèves. L'enseignement des mathématiques devrait comporter des séquences d'apprentissage structurées et intensives, individualisées et adaptées au niveau de chaque élève. Des plans de leçon prédéfinis pour l'enseignement de compétences spécifiques peuvent également contribuer à cet objectif. Toutefois, des recherches supplémentaires sont nécessaires pour évaluer l'efficacité des différentes stratégies pédagogiques pour l'acquisition de chaque compétence. Des études d'intervention complémentaires, menées auprès d'échantillons plus importants d'élèves présentant une DI, devraient permettre d'obtenir des données plus précises sur l'efficacité de l'enseignement des mathématiques pour ce groupe d'apprenants. Les études comparatives de groupes utilisent certes des échantillons plus importants, mais l'hétérogénéité des élèves au sein des groupes complexifie toute évaluation. Une solution pourrait consister à réaliser davantage d'études avec des paires appariées et des groupes témoins sur liste d'attente. Les analyses de regroupement peuvent également aider à regrouper les élèves présentant des caractéristiques similaires (Sermier Dessemontet, Moser Opitz et Schnepel).</w:t>
      </w:r>
      <w:r w:rsidDel="00000000" w:rsidR="00000000" w:rsidRPr="00000000">
        <w:rPr>
          <w:rFonts w:ascii="Arial" w:cs="Arial" w:eastAsia="Arial" w:hAnsi="Arial"/>
          <w:b w:val="0"/>
          <w:bCs w:val="0"/>
          <w:i w:val="0"/>
          <w:iCs w:val="0"/>
          <w:smallCaps w:val="0"/>
          <w:strike w:val="0"/>
          <w:color w:val="000080"/>
          <w:sz w:val="20"/>
          <w:szCs w:val="20"/>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Afin d'évaluer les effets à long terme, des études avec suivi ou évaluation de maintien sont nécessaires. Enfin, les recherches futures doivent examiner comment mettre en œuvre des interventions en mathématiques pour les élèves présentant une déficience intellectuelle, notamment des interventions intensives, dans les classes ordinaires.</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3436279296875" w:line="240" w:lineRule="auto"/>
        <w:ind w:left="782.1420669555664"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Déclaration de divulgation</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30780029296875" w:line="240" w:lineRule="auto"/>
        <w:ind w:left="781.3019943237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Aucun conflit d'intérêts potentiel n'a été déclaré par l'auteur (ou les auteurs).</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4.702148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675</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658203125" w:line="240" w:lineRule="auto"/>
        <w:ind w:left="775.3219985961914"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ORCID</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99560546875" w:line="240" w:lineRule="auto"/>
        <w:ind w:left="775.1819229125977" w:right="0" w:firstLine="0"/>
        <w:jc w:val="left"/>
        <w:rPr>
          <w:rFonts w:ascii="Arial" w:cs="Arial" w:eastAsia="Arial" w:hAnsi="Arial"/>
          <w:b w:val="0"/>
          <w:bCs w:val="0"/>
          <w:i w:val="0"/>
          <w:iCs w:val="0"/>
          <w:smallCaps w:val="0"/>
          <w:strike w:val="0"/>
          <w:color w:val="000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Susanne Schnepel</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http://orcid.org/0000-0002-3581-4253</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9990234375" w:line="240" w:lineRule="auto"/>
        <w:ind w:left="781.3142013549805" w:right="0" w:firstLine="0"/>
        <w:jc w:val="left"/>
        <w:rPr>
          <w:rFonts w:ascii="Arial" w:cs="Arial" w:eastAsia="Arial" w:hAnsi="Arial"/>
          <w:b w:val="0"/>
          <w:bCs w:val="0"/>
          <w:i w:val="0"/>
          <w:iCs w:val="0"/>
          <w:smallCaps w:val="0"/>
          <w:strike w:val="0"/>
          <w:color w:val="000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Pirjo Aunio</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http://orcid.org/0000-0002-0901-3874</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4140625" w:line="240" w:lineRule="auto"/>
        <w:ind w:left="782.1420669555664" w:right="0" w:firstLine="0"/>
        <w:jc w:val="left"/>
        <w:rPr>
          <w:rFonts w:ascii="Arial" w:cs="Arial" w:eastAsia="Arial" w:hAnsi="Arial"/>
          <w:b w:val="1"/>
          <w:bCs w:val="1"/>
          <w:i w:val="0"/>
          <w:iCs w:val="0"/>
          <w:smallCaps w:val="0"/>
          <w:strike w:val="0"/>
          <w:color w:val="5477b3"/>
          <w:sz w:val="22.000200271606445"/>
          <w:szCs w:val="22.000200271606445"/>
          <w:u w:val="none"/>
          <w:shd w:fill="auto" w:val="clear"/>
          <w:vertAlign w:val="baseline"/>
        </w:rPr>
      </w:pPr>
      <w:r w:rsidDel="00000000" w:rsidR="00000000" w:rsidRPr="00000000">
        <w:rPr>
          <w:rFonts w:ascii="Arial" w:cs="Arial" w:eastAsia="Arial" w:hAnsi="Arial"/>
          <w:b w:val="1"/>
          <w:bCs w:val="1"/>
          <w:i w:val="0"/>
          <w:iCs w:val="0"/>
          <w:smallCaps w:val="0"/>
          <w:strike w:val="0"/>
          <w:color w:val="5477b3"/>
          <w:sz w:val="22.000200271606445"/>
          <w:szCs w:val="22.000200271606445"/>
          <w:u w:val="none"/>
          <w:shd w:fill="auto" w:val="clear"/>
          <w:vertAlign w:val="baseline"/>
          <w:rtl w:val="0"/>
        </w:rPr>
        <w:t xml:space="preserve">Références</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99560546875" w:line="244.30870056152344" w:lineRule="auto"/>
        <w:ind w:left="974.783935546875" w:right="726.3726806640625" w:hanging="201.761932373046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*Agaliotis, I., et A. Teli.</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Enseignement des combinaisons arithmétiques de multiplication et de division aux élèves ayant des troubles d’apprentissage ou une déficience intellectuelle légère : l’impact du regroupement alternatif des faits et le rôle des facteurs cognitifs et d’apprentissage.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 l'éducation et de l'apprentissage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 (4) : 90–103.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10.5539/jel.v5n4p90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8701171875" w:line="244.32211875915527" w:lineRule="auto"/>
        <w:ind w:left="975.8639526367188" w:right="725.797119140625" w:hanging="203.741989135742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Association américaine de psychiatrie.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Manuel diagnostique et statistique des troubles mentaux : DSM-5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5e édition. Washington, DC.</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58935546875" w:line="244.31207656860352" w:lineRule="auto"/>
        <w:ind w:left="973.8839721679688" w:right="726.085205078125" w:hanging="201.762008666992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Aunio, P., et P. Räsänen.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Compétences numériques fondamentales pour l’apprentissage des mathématiques chez les enfants de cinq à huit ans – Un modèle de travail pour les éducateurs.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 européenne de recherche sur l'éducation de la petite enfance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 (5) : 684–704.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10.1080/1350293x.2014.996424</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1207656860352" w:lineRule="auto"/>
        <w:ind w:left="973.8839721679688" w:right="726.085205078125" w:hanging="192.581939697265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Baroody, A. J.</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1999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 développement des connaissances de base en matière de comptage, de nombres et d'arithmétique chez les enfants classés comme ayant un handicap mental.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 internationale de recherche sur le retard mental</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 (22) : 51–103.</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94221687316895" w:lineRule="auto"/>
        <w:ind w:left="974.6040344238281" w:right="725.72509765625" w:hanging="201.582031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*Bouck, E. C., L. Bassette, T. Taber-Doughty, S. M. Flanagan et K. Szwed.</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Les ordinateurs portables comme outils d'enseignement de la multiplication aux élèves présentant une déficience intellectuelle légère.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matière de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44 (3) : 367–380.</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115478515625" w:line="244.30870056152344" w:lineRule="auto"/>
        <w:ind w:left="971.5440368652344" w:right="725.743408203125" w:hanging="198.52203369140625"/>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*Bouck, E. C., J. Park, J. Shurr, L. Bassette et A. Whorley.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Utiliser l’approche virtuelle-représentative-abstraite pour soutenir les élèves ayant une déficience intellectuelle en mathématiques.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Focus sur l'autisme et les autres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 (4) : 237–248.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1088357618755696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80908203125" w:line="244.31571006774902" w:lineRule="auto"/>
        <w:ind w:left="973.8839721679688" w:right="725.9228515625" w:hanging="192.581939697265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Bowman, J. A., J. McDonnell, J. H. Ryan et O. Fudge-Coleman.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Enseignement efficace des mathématiques aux élèves présentant des handicaps modérés et graves : une revue de la littérature.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Focus sur l'autisme et les autres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34 (4) : 195–204.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1088357619827932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3818359375" w:line="244.31207656860352" w:lineRule="auto"/>
        <w:ind w:left="971.5440368652344" w:right="726.17431640625" w:hanging="190.242004394531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Brankaer, C., P. Ghesquière et B. de Smedt.</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 traitement de l’amplitude numérique chez les enfants présentant une déficience intellectuelle légère.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sur les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32 (6) : 2853–2859.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10.1016/j.ridd.2011.05.020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0870056152344" w:lineRule="auto"/>
        <w:ind w:left="973.8839721679688" w:right="726.0675048828125" w:hanging="200.8619689941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*Browder, D. M., B. A. Jimenez, F. Spooner, A. Saunders, M. Hudson et K. S. Bethune.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Initiation précoce au calcul pour les élèves présentant des troubles du développement modérés et graves.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pour les personnes atteintes de handicaps graves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37 (4) : 308–320.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10.2511/ 027494813805327205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701171875" w:line="244.3124485015869" w:lineRule="auto"/>
        <w:ind w:left="973.8839721679688" w:right="725.743408203125" w:hanging="200.8619689941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*Brankaer, C., P. Ghesquière et B. de Smedt.</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L’effet d’un jeu de dominos numériques sur le traitement de la magnitude numérique chez les enfants présentant une déficience intellectuelle légère.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Esprit, cerveau et éducation</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 (1) : 29–39.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10.1111/mbe.12065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534423828125" w:line="244.31207656860352" w:lineRule="auto"/>
        <w:ind w:left="973.8839721679688" w:right="725.77880859375" w:hanging="192.581939697265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Browder, D. M., F. Spooner, L. Ahlgrim-Delzell, A. A. Harris et S. Wakeman.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Une méta-analyse sur l’enseignement des mathématiques aux élèves présentant des déficiences cognitives importantes.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Conseil pour les enfants exceptionnels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74 (4) : 407–432.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10.1177/001440290807400401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022632598877" w:lineRule="auto"/>
        <w:ind w:left="970.4640197753906" w:right="726.480712890625" w:hanging="197.44201660156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*Browder, DM, F. Spooner, -Y.-Y. Lo, A.F. Saunders, J.R. Root, L. Ley Davis et C.R. Brosh.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Apprendre aux élèves présentant une déficience intellectuelle modérée à résoudre des problèmes de mots.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Le Journal de l'éducation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51 (4) : 222–235.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10.1177/0022466917721236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2841796875" w:line="244.31207656860352" w:lineRule="auto"/>
        <w:ind w:left="976.4039611816406" w:right="726.4447021484375" w:hanging="195.101928710937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Butler, F. M., S. P. Miller, L. Kit-hung et T. Pierce.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Enseigner les mathématiques aux élèves présentant une déficience intellectuelle légère à modérée : une revue de la littérature.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Retard mental</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39 (1) : 20–31.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10.1352/0047-6765(2001)039&lt;0020:TMTSWM&gt;2.0.CO;2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207656860352" w:lineRule="auto"/>
        <w:ind w:left="981.9839477539062" w:right="725.67138671875" w:hanging="208.961944580078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*Cihak, D. F., et J. L. Foust.</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Comparer les droites numériques et les points de contact pour enseigner les faits d’addition aux élèves autistes.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Focus sur l'autisme et les autres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 (3) : 131–137.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10.1177/1088357608318950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676 S. SCHNEPEL ET P. AUNIO</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0009765625" w:line="244.3019199371338" w:lineRule="auto"/>
        <w:ind w:left="975.8639526367188" w:right="725.67138671875" w:hanging="202.84194946289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*Calik, N. C., et T. Kargin.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Efficacité de la technique Touch Math dans l’enseignement des compétences en addition aux élèves ayant une déficience intellectuelle.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 internationale d'éducation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25 (1) : 195–204.</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89453125" w:line="244.31276321411133" w:lineRule="auto"/>
        <w:ind w:left="963.6239624023438" w:right="725.9765625" w:hanging="182.3219299316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Faragher, R., et B. Clarke.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Profil mathématique de l’apprenant atteint du syndrome de Down.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L’éducation des élèves atteints du syndrome de Down : recherche, théorie et pratique auprès des enfants et des adolescents.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édité par R. Faragher et B. Clarke, 119–145. New York : Routledge.</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50390625" w:line="244.31207656860352" w:lineRule="auto"/>
        <w:ind w:left="974.783935546875" w:right="726.5167236328125" w:hanging="193.481903076171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Faragher, R., et R. I. Brown.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La maîtrise des chiffres chez les adultes atteints du syndrome de Down : une question de qualité de vie.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 recherche sur la déficience intellectuelle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49 (10) : 761–765.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10.1111/j.1365-  2788.2005.00747.x</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349609375" w:line="244.3019199371338" w:lineRule="auto"/>
        <w:ind w:left="973.8839721679688" w:right="726.40869140625" w:hanging="199.78195190429688"/>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Gage, N. A., B. G. Cook et B. Reichow.</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Biais de publication dans les méta-analyses en éducation spécialisée.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Enfants exceptionnels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83 (4) : 428–445.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10.1177/0014402917691016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89453125" w:line="244.31201934814453" w:lineRule="auto"/>
        <w:ind w:left="974.0640258789062" w:right="726.3726806640625" w:hanging="199.9620056152343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Goya, D., P. R. Ulloa et J. C. Wells.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Examen des interventions pour l’enseignement des mathématiques aux élèves du secondaire présentant une déficience intellectuelle.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Division sur l'autisme et les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 (1) : 6–21.</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207656860352" w:lineRule="auto"/>
        <w:ind w:left="975.8639526367188" w:right="726.282958984375" w:hanging="194.561920166015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Hord, C., et E. C. Bouck.</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Examen de l’enseignement des mathématiques académiques aux élèves présentant une déficience intellectuelle légère.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47 (3) : 389–400.</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019199371338" w:lineRule="auto"/>
        <w:ind w:left="981.9839477539062" w:right="725.545654296875" w:hanging="200.681915283203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Horner, R. H., E. G. Carr, J. Halle, G. McGee, S. Odom et M. Wolery.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L’utilisation de la recherche sur un seul sujet pour identifier les pratiques fondées sur des données probantes en éducation spécialisée.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Enfants exceptionnels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71 (2) : 165–179.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10.1177/001440290507100203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89453125" w:line="244.31207656860352" w:lineRule="auto"/>
        <w:ind w:left="975.5039978027344" w:right="726.4447021484375" w:hanging="194.201965332031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Hudson, M. E., C. J. Rivera et M. M. Grady.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Recherche sur l’enseignement des mathématiques aux élèves présentant des déficiences cognitives importantes : y a-t-il eu du changement ?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pour les personnes atteintes de handicaps graves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43 (1) : 38–53.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10.1177/1540796918756601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207656860352" w:lineRule="auto"/>
        <w:ind w:left="974.0640258789062" w:right="725.743408203125" w:hanging="201.042022705078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*Hudson, ME, A. Zambone et J. Brickhouse.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Enseignement des compétences de base en calcul à l’aide de dispositifs de synthèse vocale à interrupteur unique aux élèves souffrant de handicaps multiples graves.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des handicaps développementaux et physiques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28 (1) : 153–175.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10.1007/s10882-015-9451-3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1207656860352" w:lineRule="auto"/>
        <w:ind w:left="974.783935546875" w:right="725.8514404296875" w:hanging="193.481903076171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Hughes, C. A., J. R. Morris, W. J. Therrien et S. K. Benson.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L’enseignement explicite : contextes historiques et contemporains.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sur les troubles d'apprentissage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32 (3) : 140–148.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 ldrp.12142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73556518554688" w:lineRule="auto"/>
        <w:ind w:left="768.3419799804688" w:right="726.58935546875" w:firstLine="12.960052490234375"/>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Institut des sciences de l'éducation.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Centre d'échange de bonnes pratiques : Manuel des procédures (Version 4.1)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Jenni, O.G., S. Fintelmann, J. Caflisch, B. Latal, V. Rousson et A. Chaouch.</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Stabilité des performances cognitives chez les enfants présentant une déficience intellectuelle légère.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Médecine du développement et neurologie infantile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57 (5) : 463–469.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10.1111/dmcn.12620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482666015625" w:line="244.31207656860352" w:lineRule="auto"/>
        <w:ind w:left="971.0040283203125" w:right="726.4447021484375" w:hanging="197.9820251464843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*Jimenez, B. A., et M. Kemmery.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Développer les compétences en calcul précoce des élèves présentant une déficience intellectuelle modérée.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Division sur l'autisme et les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48 (4) : 479–490.</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022632598877" w:lineRule="auto"/>
        <w:ind w:left="971.5440368652344" w:right="726.1212158203125" w:hanging="198.522033691406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*Jimenez, B. A., et K. Staples.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Accès aux normes communes d’État en mathématiques grâce au développement précoce des compétences en numératie pour les élèves présentant une déficience intellectuelle importante.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50 (1) : 17–30.</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2841796875" w:line="244.31207656860352" w:lineRule="auto"/>
        <w:ind w:left="975.8639526367188" w:right="726.3726806640625" w:hanging="202.84194946289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*Jimenez, B. A., et A. Saunders.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Améliorer l’efficacité en mathématiques : enseigner la subitisation aux élèves présentant une déficience intellectuelle modérée.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des handicaps développementaux et physiques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31 (1) : 23–37.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10.1007/s10882-018-9624-y</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207656860352" w:lineRule="auto"/>
        <w:ind w:left="974.0640258789062" w:right="726.69677734375" w:hanging="201.042022705078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*Jimenez, B. A., et J. Besaw.</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Développer les compétences numériques précoces grâce à des outils de manipulation virtuels pour les élèves ayant une déficience intellectuelle et un trouble du spectre de l'autisme.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 (1) : 28–44.</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45703125" w:line="244.3117618560791" w:lineRule="auto"/>
        <w:ind w:left="972.803955078125" w:right="726.2652587890625" w:hanging="204.461975097656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Jordan, N.C., D. Kaplan, MN Locuniak et C. Ramineni.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Prédire la réussite en mathématiques en première année à partir des trajectoires de développement du sens du nombre.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sur les troubles d'apprentissage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 (2) : 36–46.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10.1111/j.1540-5826.2007.00229.x</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717529296875" w:line="244.31207656860352" w:lineRule="auto"/>
        <w:ind w:left="781.3020324707031" w:right="725.6176757812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King, S. A., C. J. Lemons et K. A. Davidson.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Interventions en mathématiques pour les élèves atteints de troubles du spectre autistique.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Enfants exceptionnels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82 (4) : 443–462.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10.1177/0014402915625066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Kroesbergen, E.H. et J.E.H. Van Luit.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Interventions en mathématiques pour les enfants ayant des besoins éducatifs spéciaux : une méta-analyse.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 (2) : 97–114.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07419325030240020501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1.5521240234375" w:firstLine="0"/>
        <w:jc w:val="righ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REVUE EUROPÉENNE D'ÉDUCATION POUR ENFANTS À BESOINS SPÉCIAUX 677</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0009765625" w:line="244.30870056152344" w:lineRule="auto"/>
        <w:ind w:left="973.8839721679688" w:right="726.1932373046875" w:hanging="192.581939697265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Lee, A., D. M. Browder, C. Flowers et S. Wakeman.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Évaluation par les enseignants des ressources conçues pour adapter les mathématiques aux élèves présentant des déficiences cognitives importantes.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pour les personnes atteintes de handicaps graves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41 (2) : 132–137.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1540796916634099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9921875" w:line="244.3154811859131" w:lineRule="auto"/>
        <w:ind w:left="974.783935546875" w:right="725.67138671875" w:hanging="193.481903076171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Citrons, C. J., S. Vaughn, J. Wexler, D. M. Kearns et A. C. Sinclair.</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Envisager un continuum amélioré de services d’éducation spécialisée pour les élèves ayant des troubles d’apprentissage : prendre en compte l’intensité de l’intervention.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sur les troubles d'apprentissage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 (3) : 131–143.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 ldrp.12173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259765625" w:line="244.31207656860352" w:lineRule="auto"/>
        <w:ind w:left="974.0640258789062" w:right="726.69677734375" w:hanging="192.761993408203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Citrons, C. J., S. R. Powell, S. A. King et K. A. Davidson.</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Interventions mathématiques pour les enfants et les adolescents atteints du syndrome de Down : une synthèse de la recherche.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 recherche sur la déficience intellectuelle : JIDR</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 (8) : 767–783.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10.1111/jir.12188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349609375" w:line="244.30890083312988" w:lineRule="auto"/>
        <w:ind w:left="971.5440368652344" w:right="725.689697265625" w:hanging="193.48205566406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McDonnell, J., J. M. Jameson, J. A. Bowman, O. Coleman, J. Ryan, C. Eichelberger et L. Conradi.</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Évaluation de la généralisation dans les études de cas uniques portant sur l’enseignement des contenus académiques de base aux élèves présentant des déficiences intellectuelles et développementales.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Focus sur l'autisme et les autres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46 : 108835762090250.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10.1177/1088357620902500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64013671875" w:line="244.31207656860352" w:lineRule="auto"/>
        <w:ind w:left="974.0640258789062" w:right="726.336669921875" w:hanging="192.7619934082031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Neil, N. M., et E. A. Jones.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Effets de l’intensité de l’intervention sur l’acquisition de compétences et la persévérance dans la tâche chez les enfants atteints du syndrome de Down.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 recherche appliquée sur les déficiences intellectuelles : JARID</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32 (5) : 1163–1175.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10.1111/jar.12607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56494140625" w:line="244.3091583251953" w:lineRule="auto"/>
        <w:ind w:left="968.3039855957031" w:right="726.138916015625" w:hanging="187.0019531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Peltier, C., K.L. Morin, E.C. Bouck, M.E. Lingo, J.M. Pulos, F.A. Scheffler, A. Suk, L.A. Mathews, T.E. Sinclair et M.E. Deardorff.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Une méta-analyse des recherches sur des cas uniques utilisant du matériel de manipulation mathématique auprès d'élèves à risque ou présentant un handicap.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Le Journal de l'éducation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50 : 1–13.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10.1177/0022466919844516</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5791015625" w:line="244.31207656860352" w:lineRule="auto"/>
        <w:ind w:left="973.8839721679688" w:right="726.4447021484375" w:hanging="200.8619689941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*Root, J. R., D. M. Browder, A. F. Saunders et -Y.-Y. Lo.</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Enseignement basé sur des schémas avec des outils de manipulation concrets et virtuels pour enseigner la résolution de problèmes aux élèves autistes.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38 (1) : 42–52.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10.1177/0741932516643592</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54811859131" w:lineRule="auto"/>
        <w:ind w:left="781.3020324707031" w:right="726.2109375" w:firstLine="0"/>
        <w:jc w:val="left"/>
        <w:rPr>
          <w:rFonts w:ascii="Arial" w:cs="Arial" w:eastAsia="Arial" w:hAnsi="Arial"/>
          <w:b w:val="0"/>
          <w:bCs w:val="0"/>
          <w:i w:val="0"/>
          <w:iCs w:val="0"/>
          <w:smallCaps w:val="0"/>
          <w:strike w:val="0"/>
          <w:color w:val="000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Les références marquées d'un astérisque indiquent les études incluses dans la revue systématique. Rosenshine, B.</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Instruction systématique ». Dans</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L'éducation au XXIe siècle : un manuel de référence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édité par T. L. Good, I–235–I–243. Thousand Oaks, Californie : SAGE Publications.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10.4135/ 9781412964012.n25</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3818359375" w:line="244.73556518554688" w:lineRule="auto"/>
        <w:ind w:left="971.5440368652344" w:right="726.0498046875" w:hanging="198.5220336914062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*Sahbaz, Ü., et S. Katlav.</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Efficacité de l’enseignement à délai constant avec correction des erreurs dans l’apprentissage de l’identification des chiffres chez les élèves présentant une déficience intellectuelle.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 européenne de recherche en 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 (1) : 111–131.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10.5281/ zenodo.1162967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482666015625" w:line="244.31207656860352" w:lineRule="auto"/>
        <w:ind w:left="979.8239135742188" w:right="725.9771728515625" w:hanging="204.64195251464844"/>
        <w:jc w:val="both"/>
        <w:rPr>
          <w:rFonts w:ascii="Arial" w:cs="Arial" w:eastAsia="Arial" w:hAnsi="Arial"/>
          <w:b w:val="0"/>
          <w:bCs w:val="0"/>
          <w:i w:val="0"/>
          <w:iCs w:val="0"/>
          <w:smallCaps w:val="0"/>
          <w:strike w:val="0"/>
          <w:color w:val="000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Saunders, A. F., Spooner, F., et Ley Davis, L.</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Utiliser la vidéo comme outil d'enseignement pour résoudre des problèmes mathématiques simulés dans le monde réel.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39 (1) : 53–64.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10.1177/0741932517717042</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022632598877" w:lineRule="auto"/>
        <w:ind w:left="974.9639892578125" w:right="726.552734375" w:hanging="199.782028198242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Scruggs, T. E., et M. A. Mastropieri.</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PND à 25 ans : tendances passées, présentes et futures en matière de synthèse de la recherche sur un sujet unique.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34 (1) : 9–19.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10.1177/0741932512440730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912841796875" w:line="244.30892944335938" w:lineRule="auto"/>
        <w:ind w:left="974.9639892578125" w:right="726.1932373046875" w:hanging="199.782028198242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Sermier Dessemontet, R., E. Moser Opitz et S. Schnepel.</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Les profils et les schémas de progression des compétences numériques des élèves du primaire présentant une déficience intellectuelle légère à modérée.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 internationale du handicap, du développement et de l'éducation</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67 (4) : 409–423.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10.1080/1034912X.2019.1608915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5791015625" w:line="244.31227684020996" w:lineRule="auto"/>
        <w:ind w:left="773.0220031738281" w:right="725.599365234375" w:firstLine="2.1599578857421875"/>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Shepley, C., J. D. Lane et M. J. Ault.</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Examen et analyse critique du système des moindres incitations.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 (5) : 313–327.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10.1177/0741932517751213</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*Skibo, H., P. Mims et F. Spooner.</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2011</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Enseigner l’identification des nombres aux élèves présentant des handicaps graves à l’aide de cartes de réponse.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46 (1) : 124–133.</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717529296875" w:line="244.3154811859131" w:lineRule="auto"/>
        <w:ind w:left="973.8839721679688" w:right="726.4093017578125" w:hanging="198.70201110839844"/>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Spooner, F., A. Saunders, J. Root et C. Brosh.</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Promouvoir l’accès aux mathématiques de base pour les élèves ayant des handicaps graves grâce à la résolution de problèmes mathématiques.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Recherche et pratique pour les personnes atteintes de handicaps graves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42 (3) : 171–186.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1540796917697119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3055419921875" w:line="244.32226181030273" w:lineRule="auto"/>
        <w:ind w:left="981.9839477539062" w:right="726.085205078125" w:hanging="206.8019866943359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Spooner, F., J. R. Root, A. F. Saunders et D. M. Browder.</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Une revue actualisée des pratiques fondées sur des données probantes concernant l’enseignement des mathématiques aux élèves présentant des difficultés modérées et sévères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2.7219009399414" w:right="0" w:firstLine="0"/>
        <w:jc w:val="left"/>
        <w:rPr>
          <w:rFonts w:ascii="Arial" w:cs="Arial" w:eastAsia="Arial" w:hAnsi="Arial"/>
          <w:b w:val="0"/>
          <w:bCs w:val="0"/>
          <w:i w:val="0"/>
          <w:iCs w:val="0"/>
          <w:smallCaps w:val="0"/>
          <w:strike w:val="0"/>
          <w:color w:val="000000"/>
          <w:sz w:val="14.999799728393555"/>
          <w:szCs w:val="14.9997997283935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999799728393555"/>
          <w:szCs w:val="14.999799728393555"/>
          <w:u w:val="none"/>
          <w:shd w:fill="auto" w:val="clear"/>
          <w:vertAlign w:val="baseline"/>
          <w:rtl w:val="0"/>
        </w:rPr>
        <w:t xml:space="preserve">678 S. SCHNEPEL ET P. AUNIO</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0009765625" w:line="244.3019199371338" w:lineRule="auto"/>
        <w:ind w:left="974.7940063476562" w:right="726.435546875" w:firstLine="7.20001220703125"/>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Troubles du développement.</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 (3) : 150–165.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 0741932517751055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3583984375" w:line="244.31276321411133" w:lineRule="auto"/>
        <w:ind w:left="973.89404296875" w:right="726.4532470703125" w:hanging="200.8619689941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*Stroizer, S., V. Hinton, M. Flores et L. Terry.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2015</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Une étude sur les effets de l’enseignement CRA sur les élèves atteints de troubles du spectre autistique.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50 (2) : 223–236.</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349609375" w:line="244.31207656860352" w:lineRule="auto"/>
        <w:ind w:left="974.9740600585938" w:right="726.1834716796875" w:hanging="207.341995239257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Tincani, M., et J. Travers.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Publication d’études de cas uniques ne démontrant pas de contrôle expérimental.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corrective et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39 (2) : 118–128.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10.1177/0741932517697447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50390625" w:line="244.3154811859131" w:lineRule="auto"/>
        <w:ind w:left="974.7940063476562" w:right="725.71533203125" w:hanging="201.761932373046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*Tzanakaki, P., R. P. Hastings, C. F. Grindle, J. C. Hughes et Z. Hoare.</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2014</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Un programme d’apprentissage individualisé des mathématiques pour les enfants ayant une déficience intellectuelle : un essai pilote randomisé contrôlé en simple aveugle.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des handicaps développementaux et physiques</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26 (5) : 615–632.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10.1007/ s10882-014-9387-z</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259765625" w:line="244.31236267089844" w:lineRule="auto"/>
        <w:ind w:left="973.89404296875" w:right="725.7513427734375" w:hanging="205.541992187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Van Garderen, D., A. Scheuermann, A. Poch et M. M. Murray.</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La représentation visuelle en mathématiques : connaissances et priorités des enseignants en éducation spécialisée.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Formation des enseignants et 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41 (1) : 7–23.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10.1177/0888406416665448</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9599609375" w:line="244.31207656860352" w:lineRule="auto"/>
        <w:ind w:left="974.0740966796875" w:right="726.5966796875" w:hanging="203.742065429687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Warren, S. F., M. E. Fey et P. J. Yoder.</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2007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Recherche sur l’intensité différentielle des traitements : un chaînon manquant pour créer des interventions de communication optimales.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Revues de recherche sur le retard mental et les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 (1) : 70–77.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10.1002/mrdd.20139</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56494140625" w:line="244.3124485015869" w:lineRule="auto"/>
        <w:ind w:left="969.0341186523438" w:right="725.931396484375" w:hanging="198.70208740234375"/>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Wehmeyer, M. L. et KA Shogren.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Accès au programme d’enseignement général pour les élèves présentant des déficiences cognitives importantes.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Manuel de l'éducation spécialisée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édité par J. M. Kauffman, D. P. Hallahan et P. Cullen Pullen, 662–674, New York : Routledge.</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66259765625" w:line="244.31207656860352" w:lineRule="auto"/>
        <w:ind w:left="962.9141235351562" w:right="726.7596435546875" w:hanging="189.88204956054688"/>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*Zisimopoulos, D. A.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2010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Améliorer les performances en multiplication des élèves présentant une déficience intellectuelle modérée grâce à l'utilisation de mnémoniques par mots-clés associées à une technique d'estompage d'images.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Journal de l'éducation comportementale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19 (2) : 117–133. doi :</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10.1007/s10864-010-9104-7</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3349609375" w:line="244.3124485015869" w:lineRule="auto"/>
        <w:ind w:left="973.89404296875" w:right="726.05712890625" w:hanging="200.86196899414062"/>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*Wright, J. C., C. J. Lemons, V. F. Knight, E. Lindström et J. Strauss.</w:t>
      </w:r>
      <w:r w:rsidDel="00000000" w:rsidR="00000000" w:rsidRPr="00000000">
        <w:rPr>
          <w:rFonts w:ascii="Arial" w:cs="Arial" w:eastAsia="Arial" w:hAnsi="Arial"/>
          <w:b w:val="0"/>
          <w:bCs w:val="0"/>
          <w:i w:val="0"/>
          <w:iCs w:val="0"/>
          <w:smallCaps w:val="0"/>
          <w:strike w:val="0"/>
          <w:color w:val="000080"/>
          <w:sz w:val="18"/>
          <w:szCs w:val="18"/>
          <w:u w:val="none"/>
          <w:shd w:fill="auto" w:val="clear"/>
          <w:vertAlign w:val="baseline"/>
          <w:rtl w:val="0"/>
        </w:rPr>
        <w:t xml:space="preserve">2020</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Améliorer les compétences en calcul précoce des enfants présentant des handicaps graves et des besoins complexes en communication. »</w:t>
      </w:r>
      <w:r w:rsidDel="00000000" w:rsidR="00000000" w:rsidRPr="00000000">
        <w:rPr>
          <w:rFonts w:ascii="Oi" w:cs="Oi" w:eastAsia="Oi" w:hAnsi="Oi"/>
          <w:b w:val="0"/>
          <w:bCs w:val="0"/>
          <w:i w:val="1"/>
          <w:iCs w:val="1"/>
          <w:smallCaps w:val="0"/>
          <w:strike w:val="0"/>
          <w:color w:val="000000"/>
          <w:sz w:val="18"/>
          <w:szCs w:val="18"/>
          <w:u w:val="none"/>
          <w:shd w:fill="auto" w:val="clear"/>
          <w:vertAlign w:val="baseline"/>
          <w:rtl w:val="0"/>
        </w:rPr>
        <w:t xml:space="preserve">Éducation et formation en autisme et troubles du développement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 (3) : 277–289.</w:t>
      </w:r>
    </w:p>
    <w:sectPr>
      <w:type w:val="continuous"/>
      <w:pgSz w:h="14040" w:w="9860" w:orient="portrait"/>
      <w:pgMar w:bottom="479.6297073364258" w:top="372.120361328125" w:left="432.00000762939453" w:right="432.000732421875" w:header="0" w:footer="720"/>
      <w:cols w:equalWidth="0" w:num="1">
        <w:col w:space="0" w:w="8995.99925994873"/>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i">
    <w:embedRegular w:fontKey="{00000000-0000-0000-0000-000000000000}" r:id="rId5" w:subsetted="0"/>
  </w:font>
  <w:font w:name="Open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0.png"/><Relationship Id="rId13" Type="http://schemas.openxmlformats.org/officeDocument/2006/relationships/image" Target="media/image1.png"/><Relationship Id="rId12"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8.png"/><Relationship Id="rId14" Type="http://schemas.openxmlformats.org/officeDocument/2006/relationships/image" Target="media/image6.png"/><Relationship Id="rId16" Type="http://schemas.openxmlformats.org/officeDocument/2006/relationships/image" Target="media/image15.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9" Type="http://schemas.openxmlformats.org/officeDocument/2006/relationships/font" Target="fonts/OpenSans-boldItalic.ttf"/><Relationship Id="rId5" Type="http://schemas.openxmlformats.org/officeDocument/2006/relationships/font" Target="fonts/Oi-regular.ttf"/><Relationship Id="rId6" Type="http://schemas.openxmlformats.org/officeDocument/2006/relationships/font" Target="fonts/OpenSans-regular.ttf"/><Relationship Id="rId7" Type="http://schemas.openxmlformats.org/officeDocument/2006/relationships/font" Target="fonts/OpenSans-bold.ttf"/><Relationship Id="rId8" Type="http://schemas.openxmlformats.org/officeDocument/2006/relationships/font" Target="fonts/OpenSan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